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r>
        <w:rPr>
          <w:rFonts w:ascii="Times New Roman" w:hAnsi="Times New Roman" w:cs="Times New Roman"/>
          <w:sz w:val="24"/>
          <w:szCs w:val="24"/>
        </w:rPr>
        <w:t>Risk Register</w:t>
      </w: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r>
        <w:rPr>
          <w:rFonts w:ascii="Times New Roman" w:hAnsi="Times New Roman" w:cs="Times New Roman"/>
          <w:sz w:val="24"/>
          <w:szCs w:val="24"/>
        </w:rPr>
        <w:t>By</w:t>
      </w: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r>
        <w:rPr>
          <w:rFonts w:ascii="Times New Roman" w:hAnsi="Times New Roman" w:cs="Times New Roman"/>
          <w:sz w:val="24"/>
          <w:szCs w:val="24"/>
        </w:rPr>
        <w:t>Chris Goff</w:t>
      </w: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r>
        <w:rPr>
          <w:rFonts w:ascii="Times New Roman" w:hAnsi="Times New Roman" w:cs="Times New Roman"/>
          <w:sz w:val="24"/>
          <w:szCs w:val="24"/>
        </w:rPr>
        <w:t>For</w:t>
      </w: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Default="00A10D0A" w:rsidP="00A10D0A">
      <w:pPr>
        <w:jc w:val="center"/>
        <w:rPr>
          <w:rFonts w:ascii="Times New Roman" w:hAnsi="Times New Roman" w:cs="Times New Roman"/>
          <w:sz w:val="24"/>
          <w:szCs w:val="24"/>
        </w:rPr>
      </w:pPr>
    </w:p>
    <w:p w:rsidR="00A10D0A" w:rsidRPr="009157CE" w:rsidRDefault="00A10D0A" w:rsidP="00A10D0A">
      <w:pPr>
        <w:pStyle w:val="Caption"/>
        <w:jc w:val="center"/>
        <w:rPr>
          <w:b w:val="0"/>
          <w:i w:val="0"/>
          <w:sz w:val="24"/>
          <w:szCs w:val="24"/>
        </w:rPr>
      </w:pPr>
      <w:r w:rsidRPr="009157CE">
        <w:rPr>
          <w:b w:val="0"/>
          <w:i w:val="0"/>
          <w:sz w:val="24"/>
          <w:szCs w:val="24"/>
        </w:rPr>
        <w:lastRenderedPageBreak/>
        <w:t xml:space="preserve">Risk Register </w:t>
      </w:r>
    </w:p>
    <w:tbl>
      <w:tblPr>
        <w:tblStyle w:val="PlainTable1"/>
        <w:tblW w:w="9466" w:type="dxa"/>
        <w:tblLook w:val="01E0" w:firstRow="1" w:lastRow="1" w:firstColumn="1" w:lastColumn="1" w:noHBand="0" w:noVBand="0"/>
      </w:tblPr>
      <w:tblGrid>
        <w:gridCol w:w="483"/>
        <w:gridCol w:w="1643"/>
        <w:gridCol w:w="1576"/>
        <w:gridCol w:w="1136"/>
        <w:gridCol w:w="1469"/>
        <w:gridCol w:w="1450"/>
        <w:gridCol w:w="1709"/>
      </w:tblGrid>
      <w:tr w:rsidR="00A10D0A" w:rsidRPr="009157CE" w:rsidTr="00955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rsidR="00A10D0A" w:rsidRPr="00C101AB" w:rsidRDefault="00A10D0A" w:rsidP="00955F5F">
            <w:pPr>
              <w:rPr>
                <w:b w:val="0"/>
              </w:rPr>
            </w:pPr>
            <w:r w:rsidRPr="00C101AB">
              <w:rPr>
                <w:b w:val="0"/>
              </w:rPr>
              <w:t>ID #</w:t>
            </w:r>
          </w:p>
        </w:tc>
        <w:tc>
          <w:tcPr>
            <w:cnfStyle w:val="000010000000" w:firstRow="0" w:lastRow="0" w:firstColumn="0" w:lastColumn="0" w:oddVBand="1" w:evenVBand="0" w:oddHBand="0" w:evenHBand="0" w:firstRowFirstColumn="0" w:firstRowLastColumn="0" w:lastRowFirstColumn="0" w:lastRowLastColumn="0"/>
            <w:tcW w:w="1643" w:type="dxa"/>
          </w:tcPr>
          <w:p w:rsidR="00A10D0A" w:rsidRPr="00C101AB" w:rsidRDefault="00A10D0A" w:rsidP="00955F5F">
            <w:pPr>
              <w:rPr>
                <w:b w:val="0"/>
              </w:rPr>
            </w:pPr>
            <w:r w:rsidRPr="00C101AB">
              <w:rPr>
                <w:b w:val="0"/>
              </w:rPr>
              <w:t>Risk Category</w:t>
            </w:r>
          </w:p>
        </w:tc>
        <w:tc>
          <w:tcPr>
            <w:tcW w:w="1576" w:type="dxa"/>
          </w:tcPr>
          <w:p w:rsidR="00A10D0A" w:rsidRPr="00C101AB" w:rsidRDefault="00A10D0A" w:rsidP="00955F5F">
            <w:pPr>
              <w:cnfStyle w:val="100000000000" w:firstRow="1" w:lastRow="0" w:firstColumn="0" w:lastColumn="0" w:oddVBand="0" w:evenVBand="0" w:oddHBand="0" w:evenHBand="0" w:firstRowFirstColumn="0" w:firstRowLastColumn="0" w:lastRowFirstColumn="0" w:lastRowLastColumn="0"/>
              <w:rPr>
                <w:b w:val="0"/>
              </w:rPr>
            </w:pPr>
            <w:r w:rsidRPr="00C101AB">
              <w:rPr>
                <w:b w:val="0"/>
              </w:rPr>
              <w:t>Risk Description</w:t>
            </w:r>
          </w:p>
        </w:tc>
        <w:tc>
          <w:tcPr>
            <w:cnfStyle w:val="000010000000" w:firstRow="0" w:lastRow="0" w:firstColumn="0" w:lastColumn="0" w:oddVBand="1" w:evenVBand="0" w:oddHBand="0" w:evenHBand="0" w:firstRowFirstColumn="0" w:firstRowLastColumn="0" w:lastRowFirstColumn="0" w:lastRowLastColumn="0"/>
            <w:tcW w:w="1136" w:type="dxa"/>
          </w:tcPr>
          <w:p w:rsidR="00A10D0A" w:rsidRPr="00C101AB" w:rsidRDefault="00A10D0A" w:rsidP="00955F5F">
            <w:pPr>
              <w:rPr>
                <w:b w:val="0"/>
              </w:rPr>
            </w:pPr>
            <w:r w:rsidRPr="00C101AB">
              <w:rPr>
                <w:b w:val="0"/>
              </w:rPr>
              <w:t>Risk Impact</w:t>
            </w:r>
          </w:p>
        </w:tc>
        <w:tc>
          <w:tcPr>
            <w:tcW w:w="1469" w:type="dxa"/>
          </w:tcPr>
          <w:p w:rsidR="00A10D0A" w:rsidRPr="00C101AB" w:rsidRDefault="00A10D0A" w:rsidP="00955F5F">
            <w:pPr>
              <w:cnfStyle w:val="100000000000" w:firstRow="1" w:lastRow="0" w:firstColumn="0" w:lastColumn="0" w:oddVBand="0" w:evenVBand="0" w:oddHBand="0" w:evenHBand="0" w:firstRowFirstColumn="0" w:firstRowLastColumn="0" w:lastRowFirstColumn="0" w:lastRowLastColumn="0"/>
              <w:rPr>
                <w:b w:val="0"/>
              </w:rPr>
            </w:pPr>
            <w:r w:rsidRPr="00C101AB">
              <w:rPr>
                <w:b w:val="0"/>
              </w:rPr>
              <w:t xml:space="preserve">Risk </w:t>
            </w:r>
          </w:p>
          <w:p w:rsidR="00A10D0A" w:rsidRPr="00C101AB" w:rsidRDefault="00A10D0A" w:rsidP="00955F5F">
            <w:pPr>
              <w:cnfStyle w:val="100000000000" w:firstRow="1" w:lastRow="0" w:firstColumn="0" w:lastColumn="0" w:oddVBand="0" w:evenVBand="0" w:oddHBand="0" w:evenHBand="0" w:firstRowFirstColumn="0" w:firstRowLastColumn="0" w:lastRowFirstColumn="0" w:lastRowLastColumn="0"/>
              <w:rPr>
                <w:b w:val="0"/>
              </w:rPr>
            </w:pPr>
            <w:r w:rsidRPr="00C101AB">
              <w:rPr>
                <w:b w:val="0"/>
              </w:rPr>
              <w:t>Owner</w:t>
            </w:r>
          </w:p>
        </w:tc>
        <w:tc>
          <w:tcPr>
            <w:cnfStyle w:val="000010000000" w:firstRow="0" w:lastRow="0" w:firstColumn="0" w:lastColumn="0" w:oddVBand="1" w:evenVBand="0" w:oddHBand="0" w:evenHBand="0" w:firstRowFirstColumn="0" w:firstRowLastColumn="0" w:lastRowFirstColumn="0" w:lastRowLastColumn="0"/>
            <w:tcW w:w="1450" w:type="dxa"/>
          </w:tcPr>
          <w:p w:rsidR="00A10D0A" w:rsidRPr="00C101AB" w:rsidRDefault="00A10D0A" w:rsidP="00955F5F">
            <w:pPr>
              <w:rPr>
                <w:b w:val="0"/>
              </w:rPr>
            </w:pPr>
            <w:r w:rsidRPr="00C101AB">
              <w:rPr>
                <w:b w:val="0"/>
              </w:rPr>
              <w:t>Risk Response</w:t>
            </w:r>
          </w:p>
        </w:tc>
        <w:tc>
          <w:tcPr>
            <w:cnfStyle w:val="000100000000" w:firstRow="0" w:lastRow="0" w:firstColumn="0" w:lastColumn="1" w:oddVBand="0" w:evenVBand="0" w:oddHBand="0" w:evenHBand="0" w:firstRowFirstColumn="0" w:firstRowLastColumn="0" w:lastRowFirstColumn="0" w:lastRowLastColumn="0"/>
            <w:tcW w:w="1709" w:type="dxa"/>
          </w:tcPr>
          <w:p w:rsidR="00A10D0A" w:rsidRPr="00C101AB" w:rsidRDefault="00A10D0A" w:rsidP="00955F5F">
            <w:pPr>
              <w:rPr>
                <w:b w:val="0"/>
              </w:rPr>
            </w:pPr>
            <w:r w:rsidRPr="00C101AB">
              <w:rPr>
                <w:b w:val="0"/>
              </w:rPr>
              <w:t>Response Tracking</w:t>
            </w:r>
          </w:p>
        </w:tc>
      </w:tr>
      <w:tr w:rsidR="00A10D0A" w:rsidRPr="009157CE" w:rsidTr="00955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rsidR="00A10D0A" w:rsidRPr="00C101AB" w:rsidRDefault="00A10D0A" w:rsidP="00955F5F">
            <w:pPr>
              <w:rPr>
                <w:b w:val="0"/>
              </w:rPr>
            </w:pPr>
            <w:r w:rsidRPr="00C101AB">
              <w:rPr>
                <w:b w:val="0"/>
              </w:rPr>
              <w:t>1</w:t>
            </w:r>
          </w:p>
        </w:tc>
        <w:tc>
          <w:tcPr>
            <w:cnfStyle w:val="000010000000" w:firstRow="0" w:lastRow="0" w:firstColumn="0" w:lastColumn="0" w:oddVBand="1" w:evenVBand="0" w:oddHBand="0" w:evenHBand="0" w:firstRowFirstColumn="0" w:firstRowLastColumn="0" w:lastRowFirstColumn="0" w:lastRowLastColumn="0"/>
            <w:tcW w:w="1643" w:type="dxa"/>
          </w:tcPr>
          <w:p w:rsidR="00A10D0A" w:rsidRPr="00C101AB" w:rsidRDefault="00A10D0A" w:rsidP="00955F5F">
            <w:r w:rsidRPr="00C101AB">
              <w:t>Cost</w:t>
            </w:r>
          </w:p>
        </w:tc>
        <w:tc>
          <w:tcPr>
            <w:tcW w:w="1576" w:type="dxa"/>
          </w:tcPr>
          <w:p w:rsidR="00A10D0A" w:rsidRPr="00C101AB" w:rsidRDefault="00A10D0A" w:rsidP="00955F5F">
            <w:pPr>
              <w:cnfStyle w:val="000000100000" w:firstRow="0" w:lastRow="0" w:firstColumn="0" w:lastColumn="0" w:oddVBand="0" w:evenVBand="0" w:oddHBand="1" w:evenHBand="0" w:firstRowFirstColumn="0" w:firstRowLastColumn="0" w:lastRowFirstColumn="0" w:lastRowLastColumn="0"/>
            </w:pPr>
            <w:r w:rsidRPr="00C101AB">
              <w:t>The budget is capped for this project; and schedule cannot exceed 5 years.</w:t>
            </w:r>
          </w:p>
        </w:tc>
        <w:tc>
          <w:tcPr>
            <w:cnfStyle w:val="000010000000" w:firstRow="0" w:lastRow="0" w:firstColumn="0" w:lastColumn="0" w:oddVBand="1" w:evenVBand="0" w:oddHBand="0" w:evenHBand="0" w:firstRowFirstColumn="0" w:firstRowLastColumn="0" w:lastRowFirstColumn="0" w:lastRowLastColumn="0"/>
            <w:tcW w:w="1136" w:type="dxa"/>
          </w:tcPr>
          <w:p w:rsidR="00A10D0A" w:rsidRPr="00C101AB" w:rsidRDefault="00A10D0A" w:rsidP="00955F5F">
            <w:r w:rsidRPr="00C101AB">
              <w:t>Nuclear</w:t>
            </w:r>
          </w:p>
        </w:tc>
        <w:tc>
          <w:tcPr>
            <w:tcW w:w="1469" w:type="dxa"/>
          </w:tcPr>
          <w:p w:rsidR="00A10D0A" w:rsidRPr="00C101AB" w:rsidRDefault="00A10D0A" w:rsidP="00955F5F">
            <w:pPr>
              <w:cnfStyle w:val="000000100000" w:firstRow="0" w:lastRow="0" w:firstColumn="0" w:lastColumn="0" w:oddVBand="0" w:evenVBand="0" w:oddHBand="1" w:evenHBand="0" w:firstRowFirstColumn="0" w:firstRowLastColumn="0" w:lastRowFirstColumn="0" w:lastRowLastColumn="0"/>
            </w:pPr>
            <w:r w:rsidRPr="00C101AB">
              <w:t xml:space="preserve">Project </w:t>
            </w:r>
          </w:p>
          <w:p w:rsidR="00A10D0A" w:rsidRPr="00C101AB" w:rsidRDefault="00A10D0A" w:rsidP="00955F5F">
            <w:pPr>
              <w:cnfStyle w:val="000000100000" w:firstRow="0" w:lastRow="0" w:firstColumn="0" w:lastColumn="0" w:oddVBand="0" w:evenVBand="0" w:oddHBand="1" w:evenHBand="0" w:firstRowFirstColumn="0" w:firstRowLastColumn="0" w:lastRowFirstColumn="0" w:lastRowLastColumn="0"/>
            </w:pPr>
            <w:r w:rsidRPr="00C101AB">
              <w:t>Manager</w:t>
            </w:r>
          </w:p>
        </w:tc>
        <w:tc>
          <w:tcPr>
            <w:cnfStyle w:val="000010000000" w:firstRow="0" w:lastRow="0" w:firstColumn="0" w:lastColumn="0" w:oddVBand="1" w:evenVBand="0" w:oddHBand="0" w:evenHBand="0" w:firstRowFirstColumn="0" w:firstRowLastColumn="0" w:lastRowFirstColumn="0" w:lastRowLastColumn="0"/>
            <w:tcW w:w="1450" w:type="dxa"/>
          </w:tcPr>
          <w:p w:rsidR="00A10D0A" w:rsidRPr="00C101AB" w:rsidRDefault="00A10D0A" w:rsidP="00955F5F">
            <w:r w:rsidRPr="00C101AB">
              <w:t>Schedule regular meetings with high ranking stakeholders and sponsors. Create dashboard or daily status reports containing productivity statistics; develop weekly forecasts; and trend analysis.</w:t>
            </w:r>
          </w:p>
        </w:tc>
        <w:tc>
          <w:tcPr>
            <w:cnfStyle w:val="000100000000" w:firstRow="0" w:lastRow="0" w:firstColumn="0" w:lastColumn="1" w:oddVBand="0" w:evenVBand="0" w:oddHBand="0" w:evenHBand="0" w:firstRowFirstColumn="0" w:firstRowLastColumn="0" w:lastRowFirstColumn="0" w:lastRowLastColumn="0"/>
            <w:tcW w:w="1709" w:type="dxa"/>
          </w:tcPr>
          <w:p w:rsidR="00A10D0A" w:rsidRPr="00C101AB" w:rsidRDefault="00A10D0A" w:rsidP="00955F5F">
            <w:pPr>
              <w:rPr>
                <w:b w:val="0"/>
              </w:rPr>
            </w:pPr>
            <w:r w:rsidRPr="00C101AB">
              <w:rPr>
                <w:b w:val="0"/>
              </w:rPr>
              <w:t>Monitor CPI and SPI; cost and schedule variance; set thresholds at levels that steps can be made to avoid risks. Understand senior managements risk attitude. Reverify communication needs and formats.</w:t>
            </w:r>
          </w:p>
        </w:tc>
      </w:tr>
      <w:tr w:rsidR="00A10D0A" w:rsidRPr="009157CE" w:rsidTr="00955F5F">
        <w:tc>
          <w:tcPr>
            <w:cnfStyle w:val="001000000000" w:firstRow="0" w:lastRow="0" w:firstColumn="1" w:lastColumn="0" w:oddVBand="0" w:evenVBand="0" w:oddHBand="0" w:evenHBand="0" w:firstRowFirstColumn="0" w:firstRowLastColumn="0" w:lastRowFirstColumn="0" w:lastRowLastColumn="0"/>
            <w:tcW w:w="483" w:type="dxa"/>
          </w:tcPr>
          <w:p w:rsidR="00A10D0A" w:rsidRPr="00C101AB" w:rsidRDefault="00A10D0A" w:rsidP="00955F5F">
            <w:pPr>
              <w:rPr>
                <w:b w:val="0"/>
              </w:rPr>
            </w:pPr>
            <w:r w:rsidRPr="00C101AB">
              <w:rPr>
                <w:b w:val="0"/>
              </w:rPr>
              <w:t>2</w:t>
            </w:r>
          </w:p>
        </w:tc>
        <w:tc>
          <w:tcPr>
            <w:cnfStyle w:val="000010000000" w:firstRow="0" w:lastRow="0" w:firstColumn="0" w:lastColumn="0" w:oddVBand="1" w:evenVBand="0" w:oddHBand="0" w:evenHBand="0" w:firstRowFirstColumn="0" w:firstRowLastColumn="0" w:lastRowFirstColumn="0" w:lastRowLastColumn="0"/>
            <w:tcW w:w="1643" w:type="dxa"/>
          </w:tcPr>
          <w:p w:rsidR="00A10D0A" w:rsidRPr="00C101AB" w:rsidRDefault="00A10D0A" w:rsidP="00955F5F">
            <w:r w:rsidRPr="00C101AB">
              <w:t>Operational</w:t>
            </w:r>
          </w:p>
        </w:tc>
        <w:tc>
          <w:tcPr>
            <w:tcW w:w="1576" w:type="dxa"/>
          </w:tcPr>
          <w:p w:rsidR="00A10D0A" w:rsidRPr="00C101AB" w:rsidRDefault="00A10D0A" w:rsidP="00955F5F">
            <w:pPr>
              <w:cnfStyle w:val="000000000000" w:firstRow="0" w:lastRow="0" w:firstColumn="0" w:lastColumn="0" w:oddVBand="0" w:evenVBand="0" w:oddHBand="0" w:evenHBand="0" w:firstRowFirstColumn="0" w:firstRowLastColumn="0" w:lastRowFirstColumn="0" w:lastRowLastColumn="0"/>
            </w:pPr>
            <w:r w:rsidRPr="00C101AB">
              <w:t>Dysfunctional Conflicts in two of three legacy teams; these conflicts lead to rework, which directly effects, overall project costs and schedule. Previously in the risk register the dysfunction had their own risk category, but they are essentially the same sort of issues that can be handles by one strategy: Training.</w:t>
            </w:r>
          </w:p>
        </w:tc>
        <w:tc>
          <w:tcPr>
            <w:cnfStyle w:val="000010000000" w:firstRow="0" w:lastRow="0" w:firstColumn="0" w:lastColumn="0" w:oddVBand="1" w:evenVBand="0" w:oddHBand="0" w:evenHBand="0" w:firstRowFirstColumn="0" w:firstRowLastColumn="0" w:lastRowFirstColumn="0" w:lastRowLastColumn="0"/>
            <w:tcW w:w="1136" w:type="dxa"/>
          </w:tcPr>
          <w:p w:rsidR="00A10D0A" w:rsidRPr="00C101AB" w:rsidRDefault="00A10D0A" w:rsidP="00955F5F">
            <w:r w:rsidRPr="00C101AB">
              <w:t>High</w:t>
            </w:r>
          </w:p>
        </w:tc>
        <w:tc>
          <w:tcPr>
            <w:tcW w:w="1469" w:type="dxa"/>
          </w:tcPr>
          <w:p w:rsidR="00A10D0A" w:rsidRPr="00C101AB" w:rsidRDefault="00A10D0A" w:rsidP="00955F5F">
            <w:pPr>
              <w:cnfStyle w:val="000000000000" w:firstRow="0" w:lastRow="0" w:firstColumn="0" w:lastColumn="0" w:oddVBand="0" w:evenVBand="0" w:oddHBand="0" w:evenHBand="0" w:firstRowFirstColumn="0" w:firstRowLastColumn="0" w:lastRowFirstColumn="0" w:lastRowLastColumn="0"/>
            </w:pPr>
            <w:r w:rsidRPr="00C101AB">
              <w:t>Senior Management</w:t>
            </w:r>
          </w:p>
        </w:tc>
        <w:tc>
          <w:tcPr>
            <w:cnfStyle w:val="000010000000" w:firstRow="0" w:lastRow="0" w:firstColumn="0" w:lastColumn="0" w:oddVBand="1" w:evenVBand="0" w:oddHBand="0" w:evenHBand="0" w:firstRowFirstColumn="0" w:firstRowLastColumn="0" w:lastRowFirstColumn="0" w:lastRowLastColumn="0"/>
            <w:tcW w:w="1450" w:type="dxa"/>
          </w:tcPr>
          <w:p w:rsidR="00A10D0A" w:rsidRPr="00C101AB" w:rsidRDefault="00A10D0A" w:rsidP="00955F5F">
            <w:r w:rsidRPr="00C101AB">
              <w:t>Update Human Resource Plan and establish reserves for training. Provide training, incentive to motivate work force toward operational goals of one team, one budget. Have sponsors schedule offsite meetings to build comradery between teams. Senior management is positioned to motivate the workforce.</w:t>
            </w:r>
          </w:p>
        </w:tc>
        <w:tc>
          <w:tcPr>
            <w:cnfStyle w:val="000100000000" w:firstRow="0" w:lastRow="0" w:firstColumn="0" w:lastColumn="1" w:oddVBand="0" w:evenVBand="0" w:oddHBand="0" w:evenHBand="0" w:firstRowFirstColumn="0" w:firstRowLastColumn="0" w:lastRowFirstColumn="0" w:lastRowLastColumn="0"/>
            <w:tcW w:w="1709" w:type="dxa"/>
          </w:tcPr>
          <w:p w:rsidR="00A10D0A" w:rsidRPr="00C101AB" w:rsidRDefault="00A10D0A" w:rsidP="00955F5F">
            <w:pPr>
              <w:rPr>
                <w:b w:val="0"/>
              </w:rPr>
            </w:pPr>
            <w:r w:rsidRPr="00C101AB">
              <w:rPr>
                <w:b w:val="0"/>
              </w:rPr>
              <w:t>Monitor work performance reports. CV and SV. Monitor estimated duration and cost with actual cost and duration measures. Determine cause of variance</w:t>
            </w:r>
          </w:p>
        </w:tc>
      </w:tr>
      <w:tr w:rsidR="00A10D0A" w:rsidRPr="009157CE" w:rsidTr="00955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rsidR="00A10D0A" w:rsidRPr="00C101AB" w:rsidRDefault="00A10D0A" w:rsidP="00955F5F">
            <w:pPr>
              <w:rPr>
                <w:b w:val="0"/>
              </w:rPr>
            </w:pPr>
            <w:r w:rsidRPr="00C101AB">
              <w:rPr>
                <w:b w:val="0"/>
              </w:rPr>
              <w:t>3</w:t>
            </w:r>
          </w:p>
        </w:tc>
        <w:tc>
          <w:tcPr>
            <w:cnfStyle w:val="000010000000" w:firstRow="0" w:lastRow="0" w:firstColumn="0" w:lastColumn="0" w:oddVBand="1" w:evenVBand="0" w:oddHBand="0" w:evenHBand="0" w:firstRowFirstColumn="0" w:firstRowLastColumn="0" w:lastRowFirstColumn="0" w:lastRowLastColumn="0"/>
            <w:tcW w:w="1643" w:type="dxa"/>
          </w:tcPr>
          <w:p w:rsidR="00A10D0A" w:rsidRPr="00C101AB" w:rsidRDefault="00A10D0A" w:rsidP="00955F5F">
            <w:r w:rsidRPr="00C101AB">
              <w:t>Vendor</w:t>
            </w:r>
          </w:p>
        </w:tc>
        <w:tc>
          <w:tcPr>
            <w:tcW w:w="1576" w:type="dxa"/>
          </w:tcPr>
          <w:p w:rsidR="00A10D0A" w:rsidRPr="00C101AB" w:rsidRDefault="00A10D0A" w:rsidP="00955F5F">
            <w:pPr>
              <w:cnfStyle w:val="000000100000" w:firstRow="0" w:lastRow="0" w:firstColumn="0" w:lastColumn="0" w:oddVBand="0" w:evenVBand="0" w:oddHBand="1" w:evenHBand="0" w:firstRowFirstColumn="0" w:firstRowLastColumn="0" w:lastRowFirstColumn="0" w:lastRowLastColumn="0"/>
            </w:pPr>
            <w:r w:rsidRPr="00C101AB">
              <w:t>Ensure we are receiving competitive pricing for hardware and software</w:t>
            </w:r>
          </w:p>
        </w:tc>
        <w:tc>
          <w:tcPr>
            <w:cnfStyle w:val="000010000000" w:firstRow="0" w:lastRow="0" w:firstColumn="0" w:lastColumn="0" w:oddVBand="1" w:evenVBand="0" w:oddHBand="0" w:evenHBand="0" w:firstRowFirstColumn="0" w:firstRowLastColumn="0" w:lastRowFirstColumn="0" w:lastRowLastColumn="0"/>
            <w:tcW w:w="1136" w:type="dxa"/>
          </w:tcPr>
          <w:p w:rsidR="00A10D0A" w:rsidRPr="00C101AB" w:rsidRDefault="00A10D0A" w:rsidP="00955F5F">
            <w:r w:rsidRPr="00C101AB">
              <w:t>Moderate</w:t>
            </w:r>
          </w:p>
        </w:tc>
        <w:tc>
          <w:tcPr>
            <w:tcW w:w="1469" w:type="dxa"/>
          </w:tcPr>
          <w:p w:rsidR="00A10D0A" w:rsidRPr="00C101AB" w:rsidRDefault="00A10D0A" w:rsidP="00955F5F">
            <w:pPr>
              <w:cnfStyle w:val="000000100000" w:firstRow="0" w:lastRow="0" w:firstColumn="0" w:lastColumn="0" w:oddVBand="0" w:evenVBand="0" w:oddHBand="1" w:evenHBand="0" w:firstRowFirstColumn="0" w:firstRowLastColumn="0" w:lastRowFirstColumn="0" w:lastRowLastColumn="0"/>
            </w:pPr>
            <w:r w:rsidRPr="00C101AB">
              <w:t>Project Manager</w:t>
            </w:r>
          </w:p>
        </w:tc>
        <w:tc>
          <w:tcPr>
            <w:cnfStyle w:val="000010000000" w:firstRow="0" w:lastRow="0" w:firstColumn="0" w:lastColumn="0" w:oddVBand="1" w:evenVBand="0" w:oddHBand="0" w:evenHBand="0" w:firstRowFirstColumn="0" w:firstRowLastColumn="0" w:lastRowFirstColumn="0" w:lastRowLastColumn="0"/>
            <w:tcW w:w="1450" w:type="dxa"/>
          </w:tcPr>
          <w:p w:rsidR="00A10D0A" w:rsidRPr="00C101AB" w:rsidRDefault="00A10D0A" w:rsidP="00955F5F">
            <w:r w:rsidRPr="00C101AB">
              <w:t>Create Request for Information to find out estimates from different vendors</w:t>
            </w:r>
          </w:p>
        </w:tc>
        <w:tc>
          <w:tcPr>
            <w:cnfStyle w:val="000100000000" w:firstRow="0" w:lastRow="0" w:firstColumn="0" w:lastColumn="1" w:oddVBand="0" w:evenVBand="0" w:oddHBand="0" w:evenHBand="0" w:firstRowFirstColumn="0" w:firstRowLastColumn="0" w:lastRowFirstColumn="0" w:lastRowLastColumn="0"/>
            <w:tcW w:w="1709" w:type="dxa"/>
          </w:tcPr>
          <w:p w:rsidR="00A10D0A" w:rsidRPr="00C101AB" w:rsidRDefault="00A10D0A" w:rsidP="00955F5F">
            <w:pPr>
              <w:rPr>
                <w:b w:val="0"/>
              </w:rPr>
            </w:pPr>
            <w:r w:rsidRPr="00C101AB">
              <w:rPr>
                <w:b w:val="0"/>
              </w:rPr>
              <w:t xml:space="preserve">Require vendors to be certified resellers; chose vendors that are large enough or </w:t>
            </w:r>
            <w:proofErr w:type="gramStart"/>
            <w:r w:rsidRPr="00C101AB">
              <w:rPr>
                <w:b w:val="0"/>
              </w:rPr>
              <w:t>have the ability to</w:t>
            </w:r>
            <w:proofErr w:type="gramEnd"/>
            <w:r w:rsidRPr="00C101AB">
              <w:rPr>
                <w:b w:val="0"/>
              </w:rPr>
              <w:t xml:space="preserve"> price match.</w:t>
            </w:r>
          </w:p>
        </w:tc>
      </w:tr>
      <w:tr w:rsidR="00A10D0A" w:rsidRPr="009157CE" w:rsidTr="00955F5F">
        <w:tc>
          <w:tcPr>
            <w:cnfStyle w:val="001000000000" w:firstRow="0" w:lastRow="0" w:firstColumn="1" w:lastColumn="0" w:oddVBand="0" w:evenVBand="0" w:oddHBand="0" w:evenHBand="0" w:firstRowFirstColumn="0" w:firstRowLastColumn="0" w:lastRowFirstColumn="0" w:lastRowLastColumn="0"/>
            <w:tcW w:w="483" w:type="dxa"/>
          </w:tcPr>
          <w:p w:rsidR="00A10D0A" w:rsidRPr="00C101AB" w:rsidRDefault="00A10D0A" w:rsidP="00955F5F">
            <w:pPr>
              <w:rPr>
                <w:b w:val="0"/>
              </w:rPr>
            </w:pPr>
            <w:r w:rsidRPr="00C101AB">
              <w:rPr>
                <w:b w:val="0"/>
              </w:rPr>
              <w:t>4</w:t>
            </w:r>
          </w:p>
        </w:tc>
        <w:tc>
          <w:tcPr>
            <w:cnfStyle w:val="000010000000" w:firstRow="0" w:lastRow="0" w:firstColumn="0" w:lastColumn="0" w:oddVBand="1" w:evenVBand="0" w:oddHBand="0" w:evenHBand="0" w:firstRowFirstColumn="0" w:firstRowLastColumn="0" w:lastRowFirstColumn="0" w:lastRowLastColumn="0"/>
            <w:tcW w:w="1643" w:type="dxa"/>
          </w:tcPr>
          <w:p w:rsidR="00A10D0A" w:rsidRPr="00C101AB" w:rsidRDefault="00A10D0A" w:rsidP="00955F5F">
            <w:r w:rsidRPr="00C101AB">
              <w:t>Executive Sponsorship</w:t>
            </w:r>
          </w:p>
        </w:tc>
        <w:tc>
          <w:tcPr>
            <w:tcW w:w="1576" w:type="dxa"/>
          </w:tcPr>
          <w:p w:rsidR="00A10D0A" w:rsidRPr="00C101AB" w:rsidRDefault="00A10D0A" w:rsidP="00955F5F">
            <w:pPr>
              <w:cnfStyle w:val="000000000000" w:firstRow="0" w:lastRow="0" w:firstColumn="0" w:lastColumn="0" w:oddVBand="0" w:evenVBand="0" w:oddHBand="0" w:evenHBand="0" w:firstRowFirstColumn="0" w:firstRowLastColumn="0" w:lastRowFirstColumn="0" w:lastRowLastColumn="0"/>
            </w:pPr>
            <w:bookmarkStart w:id="0" w:name="_Toc474056142"/>
            <w:r w:rsidRPr="00C101AB">
              <w:t xml:space="preserve">Lack of motivation, or </w:t>
            </w:r>
            <w:r w:rsidRPr="00C101AB">
              <w:lastRenderedPageBreak/>
              <w:t>visual proximity to project. Exiting sponsor becomes the functional manager of project team members</w:t>
            </w:r>
            <w:bookmarkEnd w:id="0"/>
          </w:p>
        </w:tc>
        <w:tc>
          <w:tcPr>
            <w:cnfStyle w:val="000010000000" w:firstRow="0" w:lastRow="0" w:firstColumn="0" w:lastColumn="0" w:oddVBand="1" w:evenVBand="0" w:oddHBand="0" w:evenHBand="0" w:firstRowFirstColumn="0" w:firstRowLastColumn="0" w:lastRowFirstColumn="0" w:lastRowLastColumn="0"/>
            <w:tcW w:w="1136" w:type="dxa"/>
          </w:tcPr>
          <w:p w:rsidR="00A10D0A" w:rsidRPr="00C101AB" w:rsidRDefault="00A10D0A" w:rsidP="00955F5F">
            <w:r w:rsidRPr="00C101AB">
              <w:lastRenderedPageBreak/>
              <w:t>Moderate</w:t>
            </w:r>
          </w:p>
        </w:tc>
        <w:tc>
          <w:tcPr>
            <w:tcW w:w="1469" w:type="dxa"/>
          </w:tcPr>
          <w:p w:rsidR="00A10D0A" w:rsidRPr="00C101AB" w:rsidRDefault="00A10D0A" w:rsidP="00955F5F">
            <w:pPr>
              <w:cnfStyle w:val="000000000000" w:firstRow="0" w:lastRow="0" w:firstColumn="0" w:lastColumn="0" w:oddVBand="0" w:evenVBand="0" w:oddHBand="0" w:evenHBand="0" w:firstRowFirstColumn="0" w:firstRowLastColumn="0" w:lastRowFirstColumn="0" w:lastRowLastColumn="0"/>
            </w:pPr>
            <w:r w:rsidRPr="00C101AB">
              <w:t>Senior Management</w:t>
            </w:r>
          </w:p>
        </w:tc>
        <w:tc>
          <w:tcPr>
            <w:cnfStyle w:val="000010000000" w:firstRow="0" w:lastRow="0" w:firstColumn="0" w:lastColumn="0" w:oddVBand="1" w:evenVBand="0" w:oddHBand="0" w:evenHBand="0" w:firstRowFirstColumn="0" w:firstRowLastColumn="0" w:lastRowFirstColumn="0" w:lastRowLastColumn="0"/>
            <w:tcW w:w="1450" w:type="dxa"/>
          </w:tcPr>
          <w:p w:rsidR="00A10D0A" w:rsidRPr="00C101AB" w:rsidRDefault="00A10D0A" w:rsidP="00955F5F">
            <w:bookmarkStart w:id="1" w:name="_Toc474056148"/>
            <w:r w:rsidRPr="00C101AB">
              <w:t xml:space="preserve">Allow both remaining </w:t>
            </w:r>
            <w:r w:rsidRPr="00C101AB">
              <w:lastRenderedPageBreak/>
              <w:t>sponsors share duties in managing day to day operations.</w:t>
            </w:r>
            <w:bookmarkEnd w:id="1"/>
          </w:p>
        </w:tc>
        <w:tc>
          <w:tcPr>
            <w:cnfStyle w:val="000100000000" w:firstRow="0" w:lastRow="0" w:firstColumn="0" w:lastColumn="1" w:oddVBand="0" w:evenVBand="0" w:oddHBand="0" w:evenHBand="0" w:firstRowFirstColumn="0" w:firstRowLastColumn="0" w:lastRowFirstColumn="0" w:lastRowLastColumn="0"/>
            <w:tcW w:w="1709" w:type="dxa"/>
          </w:tcPr>
          <w:p w:rsidR="00A10D0A" w:rsidRPr="00C101AB" w:rsidRDefault="00A10D0A" w:rsidP="00955F5F">
            <w:pPr>
              <w:rPr>
                <w:b w:val="0"/>
              </w:rPr>
            </w:pPr>
            <w:r w:rsidRPr="00C101AB">
              <w:rPr>
                <w:b w:val="0"/>
              </w:rPr>
              <w:lastRenderedPageBreak/>
              <w:t xml:space="preserve">Monitor and Control project </w:t>
            </w:r>
            <w:r w:rsidRPr="00C101AB">
              <w:rPr>
                <w:b w:val="0"/>
              </w:rPr>
              <w:lastRenderedPageBreak/>
              <w:t>activities and solicit and be available for feedback from project team regularly.</w:t>
            </w:r>
          </w:p>
        </w:tc>
      </w:tr>
      <w:tr w:rsidR="00A10D0A" w:rsidRPr="009157CE" w:rsidTr="00955F5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Pr>
          <w:p w:rsidR="00A10D0A" w:rsidRPr="00C101AB" w:rsidRDefault="00A10D0A" w:rsidP="00955F5F">
            <w:pPr>
              <w:rPr>
                <w:b w:val="0"/>
              </w:rPr>
            </w:pPr>
            <w:r w:rsidRPr="00C101AB">
              <w:rPr>
                <w:b w:val="0"/>
              </w:rPr>
              <w:lastRenderedPageBreak/>
              <w:t>5</w:t>
            </w:r>
          </w:p>
        </w:tc>
        <w:tc>
          <w:tcPr>
            <w:cnfStyle w:val="000010000000" w:firstRow="0" w:lastRow="0" w:firstColumn="0" w:lastColumn="0" w:oddVBand="1" w:evenVBand="0" w:oddHBand="0" w:evenHBand="0" w:firstRowFirstColumn="0" w:firstRowLastColumn="0" w:lastRowFirstColumn="0" w:lastRowLastColumn="0"/>
            <w:tcW w:w="1643" w:type="dxa"/>
          </w:tcPr>
          <w:p w:rsidR="00A10D0A" w:rsidRPr="00C101AB" w:rsidRDefault="00A10D0A" w:rsidP="00955F5F">
            <w:pPr>
              <w:rPr>
                <w:b w:val="0"/>
              </w:rPr>
            </w:pPr>
            <w:r w:rsidRPr="00C101AB">
              <w:rPr>
                <w:b w:val="0"/>
              </w:rPr>
              <w:t>Enterprise Environmental Factors</w:t>
            </w:r>
          </w:p>
        </w:tc>
        <w:tc>
          <w:tcPr>
            <w:tcW w:w="1576" w:type="dxa"/>
          </w:tcPr>
          <w:p w:rsidR="00A10D0A" w:rsidRPr="00C101AB" w:rsidRDefault="00A10D0A" w:rsidP="00955F5F">
            <w:pPr>
              <w:cnfStyle w:val="010000000000" w:firstRow="0" w:lastRow="1" w:firstColumn="0" w:lastColumn="0" w:oddVBand="0" w:evenVBand="0" w:oddHBand="0" w:evenHBand="0" w:firstRowFirstColumn="0" w:firstRowLastColumn="0" w:lastRowFirstColumn="0" w:lastRowLastColumn="0"/>
              <w:rPr>
                <w:b w:val="0"/>
              </w:rPr>
            </w:pPr>
            <w:r w:rsidRPr="00C101AB">
              <w:rPr>
                <w:b w:val="0"/>
              </w:rPr>
              <w:t>Similar product we are producing comes to market before us</w:t>
            </w:r>
          </w:p>
        </w:tc>
        <w:tc>
          <w:tcPr>
            <w:cnfStyle w:val="000010000000" w:firstRow="0" w:lastRow="0" w:firstColumn="0" w:lastColumn="0" w:oddVBand="1" w:evenVBand="0" w:oddHBand="0" w:evenHBand="0" w:firstRowFirstColumn="0" w:firstRowLastColumn="0" w:lastRowFirstColumn="0" w:lastRowLastColumn="0"/>
            <w:tcW w:w="1136" w:type="dxa"/>
          </w:tcPr>
          <w:p w:rsidR="00A10D0A" w:rsidRPr="00C101AB" w:rsidRDefault="00A10D0A" w:rsidP="00955F5F">
            <w:pPr>
              <w:rPr>
                <w:b w:val="0"/>
              </w:rPr>
            </w:pPr>
            <w:r w:rsidRPr="00C101AB">
              <w:rPr>
                <w:b w:val="0"/>
              </w:rPr>
              <w:t>Low</w:t>
            </w:r>
          </w:p>
        </w:tc>
        <w:tc>
          <w:tcPr>
            <w:tcW w:w="1469" w:type="dxa"/>
          </w:tcPr>
          <w:p w:rsidR="00A10D0A" w:rsidRPr="00C101AB" w:rsidRDefault="00A10D0A" w:rsidP="00955F5F">
            <w:pPr>
              <w:cnfStyle w:val="010000000000" w:firstRow="0" w:lastRow="1" w:firstColumn="0" w:lastColumn="0" w:oddVBand="0" w:evenVBand="0" w:oddHBand="0" w:evenHBand="0" w:firstRowFirstColumn="0" w:firstRowLastColumn="0" w:lastRowFirstColumn="0" w:lastRowLastColumn="0"/>
              <w:rPr>
                <w:b w:val="0"/>
              </w:rPr>
            </w:pPr>
            <w:r w:rsidRPr="00C101AB">
              <w:rPr>
                <w:b w:val="0"/>
              </w:rPr>
              <w:t>Project Manager</w:t>
            </w:r>
          </w:p>
          <w:p w:rsidR="00A10D0A" w:rsidRPr="00C101AB" w:rsidRDefault="00A10D0A" w:rsidP="00955F5F">
            <w:pPr>
              <w:cnfStyle w:val="010000000000" w:firstRow="0" w:lastRow="1" w:firstColumn="0" w:lastColumn="0" w:oddVBand="0" w:evenVBand="0" w:oddHBand="0" w:evenHBand="0" w:firstRowFirstColumn="0" w:firstRowLastColumn="0" w:lastRowFirstColumn="0" w:lastRowLastColumn="0"/>
              <w:rPr>
                <w:b w:val="0"/>
              </w:rPr>
            </w:pPr>
            <w:r w:rsidRPr="00C101AB">
              <w:rPr>
                <w:b w:val="0"/>
              </w:rPr>
              <w:t>and Project Team Members</w:t>
            </w:r>
          </w:p>
        </w:tc>
        <w:tc>
          <w:tcPr>
            <w:cnfStyle w:val="000010000000" w:firstRow="0" w:lastRow="0" w:firstColumn="0" w:lastColumn="0" w:oddVBand="1" w:evenVBand="0" w:oddHBand="0" w:evenHBand="0" w:firstRowFirstColumn="0" w:firstRowLastColumn="0" w:lastRowFirstColumn="0" w:lastRowLastColumn="0"/>
            <w:tcW w:w="1450" w:type="dxa"/>
          </w:tcPr>
          <w:p w:rsidR="00A10D0A" w:rsidRPr="00C101AB" w:rsidRDefault="00A10D0A" w:rsidP="00955F5F">
            <w:pPr>
              <w:rPr>
                <w:b w:val="0"/>
              </w:rPr>
            </w:pPr>
            <w:r w:rsidRPr="00C101AB">
              <w:rPr>
                <w:b w:val="0"/>
              </w:rPr>
              <w:t>Monitor industry publications, news and competitor’s corporate website</w:t>
            </w:r>
          </w:p>
        </w:tc>
        <w:tc>
          <w:tcPr>
            <w:cnfStyle w:val="000100000000" w:firstRow="0" w:lastRow="0" w:firstColumn="0" w:lastColumn="1" w:oddVBand="0" w:evenVBand="0" w:oddHBand="0" w:evenHBand="0" w:firstRowFirstColumn="0" w:firstRowLastColumn="0" w:lastRowFirstColumn="0" w:lastRowLastColumn="0"/>
            <w:tcW w:w="1709" w:type="dxa"/>
          </w:tcPr>
          <w:p w:rsidR="00A10D0A" w:rsidRPr="00C101AB" w:rsidRDefault="00A10D0A" w:rsidP="00955F5F">
            <w:pPr>
              <w:rPr>
                <w:b w:val="0"/>
              </w:rPr>
            </w:pPr>
            <w:r w:rsidRPr="00C101AB">
              <w:rPr>
                <w:b w:val="0"/>
              </w:rPr>
              <w:t>Decide what functions will make the product more competitive and focus on those. Ensure that the product development is not leaked to competitors internally.</w:t>
            </w:r>
          </w:p>
          <w:p w:rsidR="00A10D0A" w:rsidRPr="00C101AB" w:rsidRDefault="00A10D0A" w:rsidP="00955F5F">
            <w:pPr>
              <w:rPr>
                <w:b w:val="0"/>
              </w:rPr>
            </w:pPr>
            <w:r w:rsidRPr="00C101AB">
              <w:rPr>
                <w:b w:val="0"/>
              </w:rPr>
              <w:t>Consult with lower ranking stakeholders.</w:t>
            </w:r>
          </w:p>
        </w:tc>
      </w:tr>
    </w:tbl>
    <w:p w:rsidR="00A10D0A" w:rsidRDefault="00A10D0A" w:rsidP="00A10D0A">
      <w:pPr>
        <w:pStyle w:val="Heading3"/>
        <w:spacing w:before="0" w:after="0"/>
        <w:rPr>
          <w:rFonts w:ascii="Arial" w:hAnsi="Arial" w:cs="Arial"/>
        </w:rPr>
      </w:pPr>
    </w:p>
    <w:p w:rsidR="00A10D0A" w:rsidRDefault="00A10D0A" w:rsidP="00A10D0A">
      <w:pPr>
        <w:pStyle w:val="Heading2"/>
        <w:numPr>
          <w:ilvl w:val="1"/>
          <w:numId w:val="1"/>
        </w:numPr>
        <w:spacing w:before="0" w:after="0"/>
        <w:rPr>
          <w:rFonts w:ascii="Arial" w:hAnsi="Arial"/>
        </w:rPr>
      </w:pPr>
      <w:bookmarkStart w:id="2" w:name="_Toc107198563"/>
      <w:bookmarkStart w:id="3" w:name="_Toc148928080"/>
      <w:bookmarkStart w:id="4" w:name="_Toc476394457"/>
      <w:r w:rsidRPr="00AA0B4E">
        <w:rPr>
          <w:rFonts w:ascii="Arial" w:hAnsi="Arial"/>
        </w:rPr>
        <w:t>Risk A</w:t>
      </w:r>
      <w:bookmarkEnd w:id="2"/>
      <w:r w:rsidRPr="00AA0B4E">
        <w:rPr>
          <w:rFonts w:ascii="Arial" w:hAnsi="Arial"/>
        </w:rPr>
        <w:t>nalysis</w:t>
      </w:r>
      <w:bookmarkEnd w:id="3"/>
      <w:bookmarkEnd w:id="4"/>
    </w:p>
    <w:p w:rsidR="00A10D0A" w:rsidRDefault="00A10D0A" w:rsidP="00A10D0A"/>
    <w:p w:rsidR="00A10D0A" w:rsidRPr="00650111" w:rsidRDefault="00A10D0A" w:rsidP="00A10D0A">
      <w:pPr>
        <w:spacing w:line="480" w:lineRule="auto"/>
      </w:pPr>
      <w:r w:rsidRPr="00650111">
        <w:t>Perform Qualitative Risk Analysis is the process of prioritizing risk for further analysis or action by assessing their probability of occurrence and impact.  The key benefit of this process is that it enables project managers to reduce the level of uncertainty a</w:t>
      </w:r>
      <w:r>
        <w:t>nd focus on high priority risks</w:t>
      </w:r>
      <w:r w:rsidRPr="00650111">
        <w:t xml:space="preserve"> (PMI, 2013 pg. 328)</w:t>
      </w:r>
      <w:r>
        <w:t>.</w:t>
      </w:r>
      <w:r w:rsidRPr="00650111">
        <w:t xml:space="preserve"> Performing Qualitative Risk Analysis assesses the priority of identified risks using their relative probability or likelihood of occurrence, and the corresponding impact on project objectives.</w:t>
      </w:r>
    </w:p>
    <w:p w:rsidR="00A10D0A" w:rsidRPr="00650111" w:rsidRDefault="00A10D0A" w:rsidP="00A10D0A">
      <w:pPr>
        <w:spacing w:line="480" w:lineRule="auto"/>
      </w:pPr>
      <w:r>
        <w:t xml:space="preserve">In the case study, there are </w:t>
      </w:r>
      <w:r w:rsidRPr="00650111">
        <w:t>clearly stated objecti</w:t>
      </w:r>
      <w:r>
        <w:t xml:space="preserve">ves for this project. These </w:t>
      </w:r>
      <w:r w:rsidRPr="00650111">
        <w:t>objectives are:</w:t>
      </w:r>
    </w:p>
    <w:tbl>
      <w:tblPr>
        <w:tblStyle w:val="PlainTable1"/>
        <w:tblW w:w="0" w:type="auto"/>
        <w:tblLook w:val="04A0" w:firstRow="1" w:lastRow="0" w:firstColumn="1" w:lastColumn="0" w:noHBand="0" w:noVBand="1"/>
      </w:tblPr>
      <w:tblGrid>
        <w:gridCol w:w="1165"/>
        <w:gridCol w:w="8185"/>
      </w:tblGrid>
      <w:tr w:rsidR="00A10D0A" w:rsidRPr="002C0414" w:rsidTr="00955F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10D0A" w:rsidRPr="002C0414" w:rsidRDefault="00A10D0A" w:rsidP="00A10D0A">
            <w:pPr>
              <w:pStyle w:val="ListParagraph"/>
              <w:numPr>
                <w:ilvl w:val="0"/>
                <w:numId w:val="2"/>
              </w:numPr>
              <w:spacing w:line="480" w:lineRule="auto"/>
            </w:pPr>
          </w:p>
        </w:tc>
        <w:tc>
          <w:tcPr>
            <w:tcW w:w="8185" w:type="dxa"/>
          </w:tcPr>
          <w:p w:rsidR="00A10D0A" w:rsidRPr="004431A8" w:rsidRDefault="00A10D0A" w:rsidP="00955F5F">
            <w:pPr>
              <w:pStyle w:val="ListParagraph"/>
              <w:spacing w:line="480" w:lineRule="auto"/>
              <w:ind w:left="1446"/>
              <w:cnfStyle w:val="100000000000" w:firstRow="1" w:lastRow="0" w:firstColumn="0" w:lastColumn="0" w:oddVBand="0" w:evenVBand="0" w:oddHBand="0" w:evenHBand="0" w:firstRowFirstColumn="0" w:firstRowLastColumn="0" w:lastRowFirstColumn="0" w:lastRowLastColumn="0"/>
              <w:rPr>
                <w:b w:val="0"/>
              </w:rPr>
            </w:pPr>
            <w:r w:rsidRPr="004431A8">
              <w:rPr>
                <w:b w:val="0"/>
              </w:rPr>
              <w:t xml:space="preserve">Create a new operating model to be developed incorporating to incorporate consistency of process and technology infrastructure. </w:t>
            </w:r>
          </w:p>
        </w:tc>
      </w:tr>
      <w:tr w:rsidR="00A10D0A" w:rsidRPr="002C0414" w:rsidTr="00955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10D0A" w:rsidRPr="002C0414" w:rsidRDefault="00A10D0A" w:rsidP="00A10D0A">
            <w:pPr>
              <w:pStyle w:val="ListParagraph"/>
              <w:numPr>
                <w:ilvl w:val="0"/>
                <w:numId w:val="2"/>
              </w:numPr>
              <w:spacing w:line="480" w:lineRule="auto"/>
            </w:pPr>
          </w:p>
        </w:tc>
        <w:tc>
          <w:tcPr>
            <w:tcW w:w="8185" w:type="dxa"/>
          </w:tcPr>
          <w:p w:rsidR="00A10D0A" w:rsidRPr="002C0414" w:rsidRDefault="00A10D0A" w:rsidP="00955F5F">
            <w:pPr>
              <w:pStyle w:val="ListParagraph"/>
              <w:spacing w:line="480" w:lineRule="auto"/>
              <w:ind w:left="1446"/>
              <w:cnfStyle w:val="000000100000" w:firstRow="0" w:lastRow="0" w:firstColumn="0" w:lastColumn="0" w:oddVBand="0" w:evenVBand="0" w:oddHBand="1" w:evenHBand="0" w:firstRowFirstColumn="0" w:firstRowLastColumn="0" w:lastRowFirstColumn="0" w:lastRowLastColumn="0"/>
            </w:pPr>
            <w:r w:rsidRPr="002C0414">
              <w:t xml:space="preserve">Build requirements for one of the product lines that is common across all departments. </w:t>
            </w:r>
          </w:p>
        </w:tc>
      </w:tr>
      <w:tr w:rsidR="00A10D0A" w:rsidRPr="002C0414" w:rsidTr="00955F5F">
        <w:tc>
          <w:tcPr>
            <w:cnfStyle w:val="001000000000" w:firstRow="0" w:lastRow="0" w:firstColumn="1" w:lastColumn="0" w:oddVBand="0" w:evenVBand="0" w:oddHBand="0" w:evenHBand="0" w:firstRowFirstColumn="0" w:firstRowLastColumn="0" w:lastRowFirstColumn="0" w:lastRowLastColumn="0"/>
            <w:tcW w:w="1165" w:type="dxa"/>
          </w:tcPr>
          <w:p w:rsidR="00A10D0A" w:rsidRPr="002C0414" w:rsidRDefault="00A10D0A" w:rsidP="00A10D0A">
            <w:pPr>
              <w:pStyle w:val="ListParagraph"/>
              <w:numPr>
                <w:ilvl w:val="0"/>
                <w:numId w:val="2"/>
              </w:numPr>
              <w:spacing w:line="480" w:lineRule="auto"/>
            </w:pPr>
          </w:p>
        </w:tc>
        <w:tc>
          <w:tcPr>
            <w:tcW w:w="8185" w:type="dxa"/>
          </w:tcPr>
          <w:p w:rsidR="00A10D0A" w:rsidRPr="002C0414" w:rsidRDefault="00A10D0A" w:rsidP="00955F5F">
            <w:pPr>
              <w:pStyle w:val="ListParagraph"/>
              <w:spacing w:line="480" w:lineRule="auto"/>
              <w:ind w:left="1446"/>
              <w:cnfStyle w:val="000000000000" w:firstRow="0" w:lastRow="0" w:firstColumn="0" w:lastColumn="0" w:oddVBand="0" w:evenVBand="0" w:oddHBand="0" w:evenHBand="0" w:firstRowFirstColumn="0" w:firstRowLastColumn="0" w:lastRowFirstColumn="0" w:lastRowLastColumn="0"/>
            </w:pPr>
            <w:r w:rsidRPr="002C0414">
              <w:t>Selection of an I.T lead.</w:t>
            </w:r>
          </w:p>
        </w:tc>
      </w:tr>
      <w:tr w:rsidR="00A10D0A" w:rsidRPr="002C0414" w:rsidTr="00955F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10D0A" w:rsidRPr="002C0414" w:rsidRDefault="00A10D0A" w:rsidP="00A10D0A">
            <w:pPr>
              <w:pStyle w:val="ListParagraph"/>
              <w:numPr>
                <w:ilvl w:val="0"/>
                <w:numId w:val="2"/>
              </w:numPr>
              <w:spacing w:line="480" w:lineRule="auto"/>
            </w:pPr>
          </w:p>
        </w:tc>
        <w:tc>
          <w:tcPr>
            <w:tcW w:w="8185" w:type="dxa"/>
          </w:tcPr>
          <w:p w:rsidR="00A10D0A" w:rsidRPr="002C0414" w:rsidRDefault="00A10D0A" w:rsidP="00955F5F">
            <w:pPr>
              <w:pStyle w:val="ListParagraph"/>
              <w:spacing w:line="480" w:lineRule="auto"/>
              <w:ind w:left="1446"/>
              <w:cnfStyle w:val="000000100000" w:firstRow="0" w:lastRow="0" w:firstColumn="0" w:lastColumn="0" w:oddVBand="0" w:evenVBand="0" w:oddHBand="1" w:evenHBand="0" w:firstRowFirstColumn="0" w:firstRowLastColumn="0" w:lastRowFirstColumn="0" w:lastRowLastColumn="0"/>
            </w:pPr>
            <w:r w:rsidRPr="002C0414">
              <w:t>Develop steering committee.</w:t>
            </w:r>
          </w:p>
        </w:tc>
      </w:tr>
      <w:tr w:rsidR="00A10D0A" w:rsidRPr="002C0414" w:rsidTr="00955F5F">
        <w:tc>
          <w:tcPr>
            <w:cnfStyle w:val="001000000000" w:firstRow="0" w:lastRow="0" w:firstColumn="1" w:lastColumn="0" w:oddVBand="0" w:evenVBand="0" w:oddHBand="0" w:evenHBand="0" w:firstRowFirstColumn="0" w:firstRowLastColumn="0" w:lastRowFirstColumn="0" w:lastRowLastColumn="0"/>
            <w:tcW w:w="1165" w:type="dxa"/>
          </w:tcPr>
          <w:p w:rsidR="00A10D0A" w:rsidRPr="002C0414" w:rsidRDefault="00A10D0A" w:rsidP="00A10D0A">
            <w:pPr>
              <w:pStyle w:val="ListParagraph"/>
              <w:numPr>
                <w:ilvl w:val="0"/>
                <w:numId w:val="2"/>
              </w:numPr>
              <w:spacing w:line="480" w:lineRule="auto"/>
            </w:pPr>
          </w:p>
        </w:tc>
        <w:tc>
          <w:tcPr>
            <w:tcW w:w="8185" w:type="dxa"/>
          </w:tcPr>
          <w:p w:rsidR="00A10D0A" w:rsidRPr="002C0414" w:rsidRDefault="00A10D0A" w:rsidP="00955F5F">
            <w:pPr>
              <w:pStyle w:val="ListParagraph"/>
              <w:spacing w:line="480" w:lineRule="auto"/>
              <w:ind w:left="1446"/>
              <w:cnfStyle w:val="000000000000" w:firstRow="0" w:lastRow="0" w:firstColumn="0" w:lastColumn="0" w:oddVBand="0" w:evenVBand="0" w:oddHBand="0" w:evenHBand="0" w:firstRowFirstColumn="0" w:firstRowLastColumn="0" w:lastRowFirstColumn="0" w:lastRowLastColumn="0"/>
            </w:pPr>
            <w:r w:rsidRPr="002C0414">
              <w:t>PMO consolidated.</w:t>
            </w:r>
          </w:p>
        </w:tc>
      </w:tr>
    </w:tbl>
    <w:p w:rsidR="00A10D0A" w:rsidRDefault="00A10D0A" w:rsidP="00A10D0A">
      <w:pPr>
        <w:spacing w:line="480" w:lineRule="auto"/>
      </w:pPr>
    </w:p>
    <w:p w:rsidR="00A10D0A" w:rsidRDefault="00A10D0A" w:rsidP="00A10D0A">
      <w:pPr>
        <w:spacing w:line="480" w:lineRule="auto"/>
      </w:pPr>
      <w:r w:rsidRPr="00650111">
        <w:t>Risks identified on this consolidation project will affect those two stated objectives.  Each risk is rated on its probability of occurrence and impact on an objective if it does occur.  Risk can be evaluated with the use of an analytical tool called the Probability and Impact Matrix. Once the organization determines which combinations of probability and impact result in a classification of nuclear, high, moderate and low risk (PMI, 2013, pg.331)</w:t>
      </w:r>
      <w:r>
        <w:t>.</w:t>
      </w:r>
    </w:p>
    <w:p w:rsidR="00A10D0A" w:rsidRDefault="00A10D0A" w:rsidP="00A10D0A">
      <w:pPr>
        <w:spacing w:line="480" w:lineRule="auto"/>
      </w:pPr>
    </w:p>
    <w:p w:rsidR="00A10D0A" w:rsidRDefault="00A10D0A" w:rsidP="00A10D0A">
      <w:pPr>
        <w:spacing w:line="480" w:lineRule="auto"/>
      </w:pPr>
    </w:p>
    <w:p w:rsidR="00A10D0A" w:rsidRDefault="00A10D0A" w:rsidP="00A10D0A">
      <w:pPr>
        <w:spacing w:line="480" w:lineRule="auto"/>
      </w:pPr>
    </w:p>
    <w:p w:rsidR="00A10D0A" w:rsidRDefault="00A10D0A" w:rsidP="00A10D0A">
      <w:pPr>
        <w:spacing w:line="480" w:lineRule="auto"/>
      </w:pPr>
    </w:p>
    <w:p w:rsidR="00A10D0A" w:rsidRDefault="00A10D0A" w:rsidP="00A10D0A">
      <w:pPr>
        <w:spacing w:line="480" w:lineRule="auto"/>
      </w:pPr>
    </w:p>
    <w:p w:rsidR="00A10D0A" w:rsidRDefault="00A10D0A" w:rsidP="00A10D0A">
      <w:pPr>
        <w:spacing w:line="480" w:lineRule="auto"/>
      </w:pPr>
    </w:p>
    <w:p w:rsidR="00A10D0A" w:rsidRDefault="00A10D0A" w:rsidP="00A10D0A">
      <w:pPr>
        <w:spacing w:line="480" w:lineRule="auto"/>
      </w:pPr>
    </w:p>
    <w:p w:rsidR="00A10D0A" w:rsidRDefault="00A10D0A" w:rsidP="00A10D0A">
      <w:pPr>
        <w:spacing w:line="480" w:lineRule="auto"/>
      </w:pPr>
    </w:p>
    <w:p w:rsidR="00A10D0A" w:rsidRDefault="00A10D0A" w:rsidP="00A10D0A">
      <w:pPr>
        <w:spacing w:line="480" w:lineRule="auto"/>
      </w:pPr>
    </w:p>
    <w:p w:rsidR="00A10D0A" w:rsidRDefault="00A10D0A" w:rsidP="00A10D0A">
      <w:pPr>
        <w:spacing w:line="480" w:lineRule="auto"/>
      </w:pPr>
    </w:p>
    <w:p w:rsidR="00A10D0A" w:rsidRDefault="00A10D0A" w:rsidP="00A10D0A">
      <w:pPr>
        <w:spacing w:line="480" w:lineRule="auto"/>
      </w:pPr>
    </w:p>
    <w:p w:rsidR="00A10D0A" w:rsidRDefault="00A10D0A" w:rsidP="00A10D0A">
      <w:pPr>
        <w:spacing w:line="480" w:lineRule="auto"/>
      </w:pPr>
    </w:p>
    <w:p w:rsidR="00A10D0A" w:rsidRDefault="00A10D0A" w:rsidP="00A10D0A">
      <w:pPr>
        <w:pStyle w:val="Heading1"/>
      </w:pPr>
      <w:bookmarkStart w:id="5" w:name="_Toc476394464"/>
      <w:r>
        <w:lastRenderedPageBreak/>
        <w:t>REFERENCES</w:t>
      </w:r>
      <w:bookmarkEnd w:id="5"/>
    </w:p>
    <w:p w:rsidR="00A10D0A" w:rsidRDefault="00A10D0A" w:rsidP="00A10D0A">
      <w:pPr>
        <w:pStyle w:val="Heading1"/>
        <w:ind w:left="360" w:hanging="360"/>
      </w:pPr>
    </w:p>
    <w:p w:rsidR="00A10D0A" w:rsidRPr="002C0414" w:rsidRDefault="00A10D0A" w:rsidP="00A10D0A">
      <w:pPr>
        <w:spacing w:line="480" w:lineRule="auto"/>
      </w:pPr>
      <w:r w:rsidRPr="002C0414">
        <w:rPr>
          <w:bCs/>
        </w:rPr>
        <w:t>C. (2007, February 11). Risk Management 101: Closing Project Risk. Retrieved March 2, 2017, from http://www.betterprojects.net/2007/02/close-project-risks.html</w:t>
      </w:r>
    </w:p>
    <w:p w:rsidR="00A10D0A" w:rsidRDefault="00A10D0A" w:rsidP="00A10D0A">
      <w:pPr>
        <w:spacing w:line="480" w:lineRule="auto"/>
      </w:pPr>
      <w:r>
        <w:t xml:space="preserve">Barkley, B. (2004). Project risk management. New York, NY: McGraw Hill Professional. </w:t>
      </w:r>
    </w:p>
    <w:p w:rsidR="00A10D0A" w:rsidRDefault="00A10D0A" w:rsidP="00A10D0A">
      <w:pPr>
        <w:spacing w:line="480" w:lineRule="auto"/>
      </w:pPr>
      <w:proofErr w:type="spellStart"/>
      <w:r>
        <w:t>Hillson</w:t>
      </w:r>
      <w:proofErr w:type="spellEnd"/>
      <w:r>
        <w:t xml:space="preserve">, D., &amp; Simon, P. (2012). Practical project risk management: The ATOM methodology. </w:t>
      </w:r>
    </w:p>
    <w:p w:rsidR="00A10D0A" w:rsidRDefault="00A10D0A" w:rsidP="00A10D0A">
      <w:pPr>
        <w:spacing w:line="480" w:lineRule="auto"/>
        <w:ind w:firstLine="720"/>
      </w:pPr>
      <w:r>
        <w:t xml:space="preserve">Vienna, VA: Management Concepts Inc. </w:t>
      </w:r>
      <w:r>
        <w:br/>
      </w:r>
      <w:proofErr w:type="spellStart"/>
      <w:r>
        <w:t>Hillson</w:t>
      </w:r>
      <w:proofErr w:type="spellEnd"/>
      <w:r>
        <w:t>, D. (2009). Managing risk in projects. Surrey, UK: Gower Publishing Company, Ltd.</w:t>
      </w:r>
    </w:p>
    <w:p w:rsidR="00A10D0A" w:rsidRDefault="00A10D0A" w:rsidP="00A10D0A">
      <w:pPr>
        <w:spacing w:line="480" w:lineRule="auto"/>
      </w:pPr>
      <w:r>
        <w:t xml:space="preserve">Kendrick, T. (2015). Identifying and managing project risk: Essential tools for failure-proofing </w:t>
      </w:r>
    </w:p>
    <w:p w:rsidR="00A10D0A" w:rsidRDefault="00A10D0A" w:rsidP="00A10D0A">
      <w:pPr>
        <w:spacing w:line="480" w:lineRule="auto"/>
        <w:ind w:left="720"/>
      </w:pPr>
      <w:r>
        <w:t xml:space="preserve">your project. New York, NY: AMACOM: Division of the American Management Association. </w:t>
      </w:r>
    </w:p>
    <w:p w:rsidR="00A10D0A" w:rsidRDefault="00A10D0A" w:rsidP="00A10D0A">
      <w:pPr>
        <w:spacing w:line="480" w:lineRule="auto"/>
      </w:pPr>
      <w:r>
        <w:t xml:space="preserve">La </w:t>
      </w:r>
      <w:proofErr w:type="spellStart"/>
      <w:r>
        <w:t>Surna</w:t>
      </w:r>
      <w:proofErr w:type="spellEnd"/>
      <w:r>
        <w:t xml:space="preserve"> de </w:t>
      </w:r>
      <w:proofErr w:type="spellStart"/>
      <w:r>
        <w:t>Todos</w:t>
      </w:r>
      <w:proofErr w:type="spellEnd"/>
      <w:r>
        <w:t xml:space="preserve">. (2017). Risk Identification. Risk Analysis. Retrieved from </w:t>
      </w:r>
    </w:p>
    <w:p w:rsidR="00A10D0A" w:rsidRDefault="00A10D0A" w:rsidP="00A10D0A">
      <w:pPr>
        <w:spacing w:line="480" w:lineRule="auto"/>
        <w:ind w:left="720"/>
      </w:pPr>
      <w:r>
        <w:t>http://www.madrid.org/cs/StaticFiles/Emprendedores/Analisis_Riesgos/pages/pdf/metodologia/3 IdentificaciondelosRiesgos_en.pdf</w:t>
      </w:r>
    </w:p>
    <w:p w:rsidR="00A10D0A" w:rsidRDefault="00A10D0A" w:rsidP="00A10D0A">
      <w:pPr>
        <w:spacing w:line="480" w:lineRule="auto"/>
      </w:pPr>
      <w:proofErr w:type="spellStart"/>
      <w:r>
        <w:t>Lientz</w:t>
      </w:r>
      <w:proofErr w:type="spellEnd"/>
      <w:r>
        <w:t>, B., &amp; Rea, K. (2007). Project management for the 21st century. New York, NY:</w:t>
      </w:r>
    </w:p>
    <w:p w:rsidR="00A10D0A" w:rsidRDefault="00A10D0A" w:rsidP="00A10D0A">
      <w:pPr>
        <w:spacing w:line="480" w:lineRule="auto"/>
        <w:ind w:firstLine="720"/>
      </w:pPr>
      <w:r>
        <w:t>Routledge.</w:t>
      </w:r>
    </w:p>
    <w:p w:rsidR="00A10D0A" w:rsidRDefault="00A10D0A" w:rsidP="00A10D0A">
      <w:pPr>
        <w:spacing w:line="480" w:lineRule="auto"/>
      </w:pPr>
      <w:r>
        <w:t xml:space="preserve">Project Management Institute (2013). A Guide to the Project Management Book of Knowledge </w:t>
      </w:r>
    </w:p>
    <w:p w:rsidR="00A10D0A" w:rsidRDefault="00A10D0A" w:rsidP="00A10D0A">
      <w:pPr>
        <w:spacing w:line="480" w:lineRule="auto"/>
        <w:ind w:firstLine="720"/>
      </w:pPr>
      <w:r>
        <w:t>PMBOK Guide 5th Edition. Newtown Square Pennsylvania.</w:t>
      </w:r>
    </w:p>
    <w:p w:rsidR="00A10D0A" w:rsidRDefault="00A10D0A" w:rsidP="00A10D0A">
      <w:pPr>
        <w:spacing w:line="480" w:lineRule="auto"/>
      </w:pPr>
      <w:r>
        <w:t xml:space="preserve">Project Management Institute (2009). Practice and Standard for Project Risk 4th Edition. </w:t>
      </w:r>
    </w:p>
    <w:p w:rsidR="00A10D0A" w:rsidRDefault="00A10D0A" w:rsidP="00A10D0A">
      <w:pPr>
        <w:spacing w:line="480" w:lineRule="auto"/>
        <w:ind w:firstLine="720"/>
      </w:pPr>
      <w:r>
        <w:t>Newtown Square Pennsylvania.</w:t>
      </w:r>
    </w:p>
    <w:p w:rsidR="00A10D0A" w:rsidRDefault="00A10D0A" w:rsidP="00A10D0A">
      <w:pPr>
        <w:spacing w:line="480" w:lineRule="auto"/>
      </w:pPr>
      <w:r>
        <w:t xml:space="preserve">Probability and Impact Matrix Principles, Practices, and Processes to Increase Probability of </w:t>
      </w:r>
    </w:p>
    <w:p w:rsidR="00A10D0A" w:rsidRDefault="00A10D0A" w:rsidP="00A10D0A">
      <w:pPr>
        <w:spacing w:line="480" w:lineRule="auto"/>
      </w:pPr>
      <w:r>
        <w:lastRenderedPageBreak/>
        <w:t>Project Success. (</w:t>
      </w:r>
      <w:proofErr w:type="spellStart"/>
      <w:r>
        <w:t>n.d.</w:t>
      </w:r>
      <w:proofErr w:type="spellEnd"/>
      <w:r>
        <w:t>). Retrieved February 2, 2017, from http://herdingcats.typepad.com/my_weblog/2010/07/risk-matrix.html</w:t>
      </w:r>
      <w:bookmarkStart w:id="6" w:name="_GoBack"/>
      <w:bookmarkEnd w:id="6"/>
    </w:p>
    <w:p w:rsidR="00A10D0A" w:rsidRPr="00A10D0A" w:rsidRDefault="00A10D0A" w:rsidP="00A10D0A">
      <w:pPr>
        <w:jc w:val="center"/>
        <w:rPr>
          <w:rFonts w:ascii="Times New Roman" w:hAnsi="Times New Roman" w:cs="Times New Roman"/>
          <w:sz w:val="24"/>
          <w:szCs w:val="24"/>
        </w:rPr>
      </w:pPr>
    </w:p>
    <w:sectPr w:rsidR="00A10D0A" w:rsidRPr="00A10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F0C1B"/>
    <w:multiLevelType w:val="multilevel"/>
    <w:tmpl w:val="6CC2D886"/>
    <w:lvl w:ilvl="0">
      <w:start w:val="1"/>
      <w:numFmt w:val="decimal"/>
      <w:lvlText w:val="%1.0"/>
      <w:lvlJc w:val="left"/>
      <w:pPr>
        <w:tabs>
          <w:tab w:val="num" w:pos="360"/>
        </w:tabs>
        <w:ind w:left="360" w:hanging="432"/>
      </w:pPr>
      <w:rPr>
        <w:rFonts w:hint="default"/>
      </w:rPr>
    </w:lvl>
    <w:lvl w:ilvl="1">
      <w:start w:val="3"/>
      <w:numFmt w:val="decimal"/>
      <w:lvlText w:val="2.%2"/>
      <w:lvlJc w:val="left"/>
      <w:pPr>
        <w:tabs>
          <w:tab w:val="num" w:pos="504"/>
        </w:tabs>
        <w:ind w:left="936" w:hanging="936"/>
      </w:pPr>
      <w:rPr>
        <w:rFonts w:hint="default"/>
      </w:rPr>
    </w:lvl>
    <w:lvl w:ilvl="2">
      <w:start w:val="1"/>
      <w:numFmt w:val="decimal"/>
      <w:lvlText w:val="%1.%2.%3"/>
      <w:lvlJc w:val="left"/>
      <w:pPr>
        <w:tabs>
          <w:tab w:val="num" w:pos="648"/>
        </w:tabs>
        <w:ind w:left="648" w:hanging="576"/>
      </w:pPr>
      <w:rPr>
        <w:rFonts w:hint="default"/>
      </w:rPr>
    </w:lvl>
    <w:lvl w:ilvl="3">
      <w:start w:val="1"/>
      <w:numFmt w:val="decimal"/>
      <w:lvlText w:val="%1.%2.%3.%4"/>
      <w:lvlJc w:val="left"/>
      <w:pPr>
        <w:tabs>
          <w:tab w:val="num" w:pos="792"/>
        </w:tabs>
        <w:ind w:left="792" w:hanging="864"/>
      </w:pPr>
      <w:rPr>
        <w:rFonts w:hint="default"/>
      </w:rPr>
    </w:lvl>
    <w:lvl w:ilvl="4">
      <w:start w:val="1"/>
      <w:numFmt w:val="decimal"/>
      <w:lvlText w:val="%1.%2.%3.%4.%5"/>
      <w:lvlJc w:val="left"/>
      <w:pPr>
        <w:tabs>
          <w:tab w:val="num" w:pos="936"/>
        </w:tabs>
        <w:ind w:left="936" w:hanging="1008"/>
      </w:pPr>
      <w:rPr>
        <w:rFonts w:hint="default"/>
      </w:rPr>
    </w:lvl>
    <w:lvl w:ilvl="5">
      <w:start w:val="1"/>
      <w:numFmt w:val="decimal"/>
      <w:lvlText w:val="%1.%2.%3.%4.%5.%6"/>
      <w:lvlJc w:val="left"/>
      <w:pPr>
        <w:tabs>
          <w:tab w:val="num" w:pos="1080"/>
        </w:tabs>
        <w:ind w:left="1080"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368"/>
        </w:tabs>
        <w:ind w:left="1368" w:hanging="1440"/>
      </w:pPr>
      <w:rPr>
        <w:rFonts w:hint="default"/>
      </w:rPr>
    </w:lvl>
    <w:lvl w:ilvl="8">
      <w:start w:val="1"/>
      <w:numFmt w:val="decimal"/>
      <w:lvlText w:val="%1.%2.%3.%4.%5.%6.%7.%8.%9"/>
      <w:lvlJc w:val="left"/>
      <w:pPr>
        <w:tabs>
          <w:tab w:val="num" w:pos="1512"/>
        </w:tabs>
        <w:ind w:left="1512" w:hanging="1584"/>
      </w:pPr>
      <w:rPr>
        <w:rFonts w:hint="default"/>
      </w:rPr>
    </w:lvl>
  </w:abstractNum>
  <w:abstractNum w:abstractNumId="1" w15:restartNumberingAfterBreak="0">
    <w:nsid w:val="6B916D74"/>
    <w:multiLevelType w:val="hybridMultilevel"/>
    <w:tmpl w:val="63BCC180"/>
    <w:lvl w:ilvl="0" w:tplc="E7BCBA94">
      <w:start w:val="1"/>
      <w:numFmt w:val="decimal"/>
      <w:lvlText w:val="%1."/>
      <w:lvlJc w:val="left"/>
      <w:pPr>
        <w:ind w:left="1446" w:hanging="87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0A"/>
    <w:rsid w:val="005F38F9"/>
    <w:rsid w:val="00A1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FAB3"/>
  <w15:chartTrackingRefBased/>
  <w15:docId w15:val="{9F51D840-8F87-490D-BA23-A21F17E1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0D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A10D0A"/>
    <w:pPr>
      <w:keepNext/>
      <w:keepLines/>
      <w:spacing w:before="180" w:after="120" w:line="240" w:lineRule="auto"/>
      <w:jc w:val="both"/>
      <w:outlineLvl w:val="1"/>
    </w:pPr>
    <w:rPr>
      <w:rFonts w:ascii="Times New Roman" w:eastAsia="Arial Unicode MS" w:hAnsi="Times New Roman" w:cs="Arial Unicode MS"/>
      <w:b/>
      <w:bCs/>
      <w:caps/>
      <w:sz w:val="24"/>
      <w:szCs w:val="24"/>
    </w:rPr>
  </w:style>
  <w:style w:type="paragraph" w:styleId="Heading3">
    <w:name w:val="heading 3"/>
    <w:basedOn w:val="Normal"/>
    <w:link w:val="Heading3Char"/>
    <w:qFormat/>
    <w:rsid w:val="00A10D0A"/>
    <w:pPr>
      <w:keepNext/>
      <w:tabs>
        <w:tab w:val="left" w:pos="864"/>
      </w:tabs>
      <w:spacing w:before="120" w:after="60" w:line="240" w:lineRule="auto"/>
      <w:jc w:val="both"/>
      <w:outlineLvl w:val="2"/>
    </w:pPr>
    <w:rPr>
      <w:rFonts w:ascii="Times New Roman" w:eastAsia="Arial Unicode MS" w:hAnsi="Times New Roman"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0D0A"/>
    <w:rPr>
      <w:rFonts w:ascii="Times New Roman" w:eastAsia="Arial Unicode MS" w:hAnsi="Times New Roman" w:cs="Arial Unicode MS"/>
      <w:b/>
      <w:bCs/>
      <w:caps/>
      <w:sz w:val="24"/>
      <w:szCs w:val="24"/>
    </w:rPr>
  </w:style>
  <w:style w:type="character" w:customStyle="1" w:styleId="Heading3Char">
    <w:name w:val="Heading 3 Char"/>
    <w:basedOn w:val="DefaultParagraphFont"/>
    <w:link w:val="Heading3"/>
    <w:rsid w:val="00A10D0A"/>
    <w:rPr>
      <w:rFonts w:ascii="Times New Roman" w:eastAsia="Arial Unicode MS" w:hAnsi="Times New Roman" w:cs="Arial Unicode MS"/>
      <w:b/>
      <w:bCs/>
      <w:sz w:val="24"/>
      <w:szCs w:val="24"/>
    </w:rPr>
  </w:style>
  <w:style w:type="paragraph" w:styleId="Caption">
    <w:name w:val="caption"/>
    <w:basedOn w:val="Normal"/>
    <w:next w:val="Normal"/>
    <w:qFormat/>
    <w:rsid w:val="00A10D0A"/>
    <w:pPr>
      <w:keepNext/>
      <w:spacing w:before="60" w:after="60" w:line="240" w:lineRule="auto"/>
      <w:ind w:left="576"/>
      <w:jc w:val="both"/>
    </w:pPr>
    <w:rPr>
      <w:rFonts w:ascii="Times New Roman" w:eastAsia="Times New Roman" w:hAnsi="Times New Roman" w:cs="Times New Roman"/>
      <w:b/>
      <w:bCs/>
      <w:i/>
      <w:sz w:val="20"/>
      <w:szCs w:val="20"/>
    </w:rPr>
  </w:style>
  <w:style w:type="table" w:styleId="PlainTable1">
    <w:name w:val="Plain Table 1"/>
    <w:basedOn w:val="TableNormal"/>
    <w:uiPriority w:val="41"/>
    <w:rsid w:val="00A10D0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uiPriority w:val="34"/>
    <w:qFormat/>
    <w:rsid w:val="00A10D0A"/>
    <w:pPr>
      <w:spacing w:before="60" w:after="60" w:line="240" w:lineRule="auto"/>
      <w:ind w:left="720"/>
      <w:contextualSpacing/>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10D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1</cp:revision>
  <dcterms:created xsi:type="dcterms:W3CDTF">2017-06-25T11:56:00Z</dcterms:created>
  <dcterms:modified xsi:type="dcterms:W3CDTF">2017-06-25T12:00:00Z</dcterms:modified>
</cp:coreProperties>
</file>