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11386B">
      <w:pPr>
        <w:jc w:val="center"/>
        <w:rPr>
          <w:rFonts w:ascii="Times New Roman" w:hAnsi="Times New Roman" w:cs="Times New Roman"/>
          <w:sz w:val="24"/>
          <w:szCs w:val="24"/>
        </w:rPr>
      </w:pPr>
    </w:p>
    <w:p w:rsidR="0011386B" w:rsidRDefault="0011386B" w:rsidP="0011386B">
      <w:pPr>
        <w:jc w:val="center"/>
        <w:rPr>
          <w:rFonts w:ascii="Times New Roman" w:hAnsi="Times New Roman" w:cs="Times New Roman"/>
          <w:sz w:val="24"/>
          <w:szCs w:val="24"/>
        </w:rPr>
      </w:pPr>
    </w:p>
    <w:p w:rsidR="0011386B" w:rsidRDefault="0011386B" w:rsidP="0011386B">
      <w:pPr>
        <w:jc w:val="center"/>
        <w:rPr>
          <w:rFonts w:ascii="Times New Roman" w:hAnsi="Times New Roman" w:cs="Times New Roman"/>
          <w:sz w:val="24"/>
          <w:szCs w:val="24"/>
        </w:rPr>
      </w:pPr>
    </w:p>
    <w:p w:rsidR="0011386B" w:rsidRDefault="0011386B" w:rsidP="0011386B">
      <w:pPr>
        <w:jc w:val="center"/>
        <w:rPr>
          <w:rFonts w:ascii="Times New Roman" w:hAnsi="Times New Roman" w:cs="Times New Roman"/>
          <w:sz w:val="24"/>
          <w:szCs w:val="24"/>
        </w:rPr>
      </w:pPr>
    </w:p>
    <w:p w:rsidR="0011386B" w:rsidRDefault="0011386B" w:rsidP="0011386B">
      <w:pPr>
        <w:jc w:val="center"/>
        <w:rPr>
          <w:rFonts w:ascii="Times New Roman" w:hAnsi="Times New Roman" w:cs="Times New Roman"/>
          <w:sz w:val="24"/>
          <w:szCs w:val="24"/>
        </w:rPr>
      </w:pPr>
    </w:p>
    <w:p w:rsidR="0011386B" w:rsidRPr="0011386B" w:rsidRDefault="0011386B" w:rsidP="0011386B">
      <w:pPr>
        <w:jc w:val="center"/>
        <w:rPr>
          <w:rFonts w:ascii="Times New Roman" w:hAnsi="Times New Roman" w:cs="Times New Roman"/>
          <w:b/>
          <w:sz w:val="24"/>
          <w:szCs w:val="24"/>
        </w:rPr>
      </w:pPr>
      <w:r w:rsidRPr="0011386B">
        <w:rPr>
          <w:rFonts w:ascii="Times New Roman" w:hAnsi="Times New Roman" w:cs="Times New Roman"/>
          <w:b/>
          <w:sz w:val="24"/>
          <w:szCs w:val="24"/>
        </w:rPr>
        <w:t>Probability and Impact Matrix</w:t>
      </w:r>
    </w:p>
    <w:p w:rsidR="0011386B" w:rsidRPr="0011386B" w:rsidRDefault="0011386B" w:rsidP="0011386B">
      <w:pPr>
        <w:jc w:val="center"/>
        <w:rPr>
          <w:rFonts w:ascii="Times New Roman" w:hAnsi="Times New Roman" w:cs="Times New Roman"/>
          <w:b/>
          <w:sz w:val="24"/>
          <w:szCs w:val="24"/>
        </w:rPr>
      </w:pPr>
    </w:p>
    <w:p w:rsidR="0011386B" w:rsidRPr="0011386B" w:rsidRDefault="0011386B" w:rsidP="0011386B">
      <w:pPr>
        <w:jc w:val="center"/>
        <w:rPr>
          <w:rFonts w:ascii="Times New Roman" w:hAnsi="Times New Roman" w:cs="Times New Roman"/>
          <w:b/>
          <w:sz w:val="24"/>
          <w:szCs w:val="24"/>
        </w:rPr>
      </w:pPr>
      <w:r w:rsidRPr="0011386B">
        <w:rPr>
          <w:rFonts w:ascii="Times New Roman" w:hAnsi="Times New Roman" w:cs="Times New Roman"/>
          <w:b/>
          <w:sz w:val="24"/>
          <w:szCs w:val="24"/>
        </w:rPr>
        <w:t>By</w:t>
      </w:r>
    </w:p>
    <w:p w:rsidR="0011386B" w:rsidRPr="0011386B" w:rsidRDefault="0011386B" w:rsidP="0011386B">
      <w:pPr>
        <w:jc w:val="center"/>
        <w:rPr>
          <w:rFonts w:ascii="Times New Roman" w:hAnsi="Times New Roman" w:cs="Times New Roman"/>
          <w:b/>
          <w:sz w:val="24"/>
          <w:szCs w:val="24"/>
        </w:rPr>
      </w:pPr>
    </w:p>
    <w:p w:rsidR="0011386B" w:rsidRPr="0011386B" w:rsidRDefault="0011386B" w:rsidP="0011386B">
      <w:pPr>
        <w:jc w:val="center"/>
        <w:rPr>
          <w:rFonts w:ascii="Times New Roman" w:hAnsi="Times New Roman" w:cs="Times New Roman"/>
          <w:b/>
          <w:sz w:val="24"/>
          <w:szCs w:val="24"/>
        </w:rPr>
      </w:pPr>
      <w:r w:rsidRPr="0011386B">
        <w:rPr>
          <w:rFonts w:ascii="Times New Roman" w:hAnsi="Times New Roman" w:cs="Times New Roman"/>
          <w:b/>
          <w:sz w:val="24"/>
          <w:szCs w:val="24"/>
        </w:rPr>
        <w:t>Chris Goff</w:t>
      </w:r>
    </w:p>
    <w:p w:rsidR="0011386B" w:rsidRPr="0011386B" w:rsidRDefault="0011386B" w:rsidP="0011386B">
      <w:pPr>
        <w:jc w:val="center"/>
        <w:rPr>
          <w:rFonts w:ascii="Times New Roman" w:hAnsi="Times New Roman" w:cs="Times New Roman"/>
          <w:b/>
          <w:sz w:val="24"/>
          <w:szCs w:val="24"/>
        </w:rPr>
      </w:pPr>
    </w:p>
    <w:p w:rsidR="0011386B" w:rsidRPr="0011386B" w:rsidRDefault="0011386B" w:rsidP="0011386B">
      <w:pPr>
        <w:jc w:val="center"/>
        <w:rPr>
          <w:rFonts w:ascii="Times New Roman" w:hAnsi="Times New Roman" w:cs="Times New Roman"/>
          <w:b/>
          <w:sz w:val="24"/>
          <w:szCs w:val="24"/>
        </w:rPr>
      </w:pPr>
      <w:r w:rsidRPr="0011386B">
        <w:rPr>
          <w:rFonts w:ascii="Times New Roman" w:hAnsi="Times New Roman" w:cs="Times New Roman"/>
          <w:b/>
          <w:sz w:val="24"/>
          <w:szCs w:val="24"/>
        </w:rPr>
        <w:t>For</w:t>
      </w:r>
    </w:p>
    <w:p w:rsidR="0011386B" w:rsidRP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r w:rsidRPr="0011386B">
        <w:rPr>
          <w:rFonts w:ascii="Times New Roman" w:hAnsi="Times New Roman" w:cs="Times New Roman"/>
          <w:b/>
          <w:sz w:val="24"/>
          <w:szCs w:val="24"/>
        </w:rPr>
        <w:t>Embry Riddle Aeronautical University</w:t>
      </w: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pStyle w:val="Heading2"/>
        <w:keepNext w:val="0"/>
        <w:keepLines w:val="0"/>
        <w:spacing w:after="0"/>
      </w:pPr>
      <w:r>
        <w:rPr>
          <w:rFonts w:eastAsia="Times New Roman" w:cs="Times New Roman"/>
          <w:sz w:val="28"/>
          <w:szCs w:val="28"/>
        </w:rPr>
        <w:lastRenderedPageBreak/>
        <w:t>4    Risk Analysis</w:t>
      </w:r>
    </w:p>
    <w:p w:rsidR="0011386B" w:rsidRDefault="0011386B" w:rsidP="0011386B">
      <w:pPr>
        <w:pStyle w:val="Heading3"/>
        <w:keepNext w:val="0"/>
        <w:spacing w:before="280" w:after="0"/>
      </w:pPr>
      <w:bookmarkStart w:id="0" w:name="_Toc476502005"/>
      <w:r>
        <w:rPr>
          <w:rFonts w:eastAsia="Times New Roman" w:cs="Times New Roman"/>
          <w:color w:val="000000"/>
        </w:rPr>
        <w:t>2.4.1   Qualitative Risk Analysis – Probability and Impact Matrix</w:t>
      </w:r>
      <w:bookmarkEnd w:id="0"/>
    </w:p>
    <w:p w:rsidR="0011386B" w:rsidRDefault="0011386B" w:rsidP="0011386B"/>
    <w:p w:rsidR="0011386B" w:rsidRDefault="0011386B" w:rsidP="0011386B">
      <w:pPr>
        <w:spacing w:line="480" w:lineRule="auto"/>
        <w:rPr>
          <w:rFonts w:ascii="Gungsuh" w:eastAsia="Gungsuh" w:hAnsi="Gungsuh" w:cs="Gungsuh"/>
        </w:rPr>
      </w:pPr>
      <w:r w:rsidRPr="003D7F4E">
        <w:rPr>
          <w:rFonts w:eastAsia="Gungsuh"/>
        </w:rPr>
        <w:t>Risk probability assessment gauges the likelihood that a specific risk will occur. The likelihood occurrence is captured on the Y-axis of the Probability and Impact Matrix. It is scaled from 1-5. A score of 1 means the probability of occurrence is a not likely (≤10%) and a 5 means it is a near certainty (&gt;90). The criteria for likelihood scoring methodology is described in Table 2.1</w:t>
      </w:r>
      <w:r>
        <w:rPr>
          <w:rFonts w:ascii="Gungsuh" w:eastAsia="Gungsuh" w:hAnsi="Gungsuh" w:cs="Gungsuh"/>
        </w:rPr>
        <w:t xml:space="preserve">.    </w:t>
      </w:r>
    </w:p>
    <w:p w:rsidR="0011386B" w:rsidRPr="003D7F4E" w:rsidRDefault="0011386B" w:rsidP="0011386B">
      <w:pPr>
        <w:rPr>
          <w:rFonts w:ascii="Gungsuh" w:eastAsia="Gungsuh" w:hAnsi="Gungsuh" w:cs="Gungsuh"/>
          <w:b/>
        </w:rPr>
      </w:pPr>
      <w:r>
        <w:rPr>
          <w:noProof/>
        </w:rPr>
        <w:drawing>
          <wp:anchor distT="114300" distB="114300" distL="114300" distR="114300" simplePos="0" relativeHeight="251660288" behindDoc="0" locked="0" layoutInCell="0" hidden="0" allowOverlap="1" wp14:anchorId="243BBEE4" wp14:editId="2316FC22">
            <wp:simplePos x="0" y="0"/>
            <wp:positionH relativeFrom="margin">
              <wp:posOffset>2952750</wp:posOffset>
            </wp:positionH>
            <wp:positionV relativeFrom="paragraph">
              <wp:posOffset>342900</wp:posOffset>
            </wp:positionV>
            <wp:extent cx="2771775" cy="1914525"/>
            <wp:effectExtent l="0" t="0" r="9525" b="9525"/>
            <wp:wrapTopAndBottom distT="114300" distB="114300"/>
            <wp:docPr id="5" name="image02.png" descr="risk figure.png"/>
            <wp:cNvGraphicFramePr/>
            <a:graphic xmlns:a="http://schemas.openxmlformats.org/drawingml/2006/main">
              <a:graphicData uri="http://schemas.openxmlformats.org/drawingml/2006/picture">
                <pic:pic xmlns:pic="http://schemas.openxmlformats.org/drawingml/2006/picture">
                  <pic:nvPicPr>
                    <pic:cNvPr id="0" name="image02.png" descr="risk figure.png"/>
                    <pic:cNvPicPr preferRelativeResize="0"/>
                  </pic:nvPicPr>
                  <pic:blipFill>
                    <a:blip r:embed="rId4"/>
                    <a:srcRect/>
                    <a:stretch>
                      <a:fillRect/>
                    </a:stretch>
                  </pic:blipFill>
                  <pic:spPr>
                    <a:xfrm>
                      <a:off x="0" y="0"/>
                      <a:ext cx="2771775" cy="1914525"/>
                    </a:xfrm>
                    <a:prstGeom prst="rect">
                      <a:avLst/>
                    </a:prstGeom>
                    <a:ln/>
                  </pic:spPr>
                </pic:pic>
              </a:graphicData>
            </a:graphic>
          </wp:anchor>
        </w:drawing>
      </w:r>
      <w:r w:rsidRPr="003D7F4E">
        <w:rPr>
          <w:b/>
          <w:i/>
        </w:rPr>
        <w:t>Figure 2.1 -</w:t>
      </w:r>
      <w:r w:rsidRPr="003D7F4E">
        <w:rPr>
          <w:b/>
        </w:rPr>
        <w:t xml:space="preserve"> Risk Probability and Impact Matrix                                                                                     </w:t>
      </w:r>
    </w:p>
    <w:p w:rsidR="0011386B" w:rsidRDefault="0011386B" w:rsidP="0011386B">
      <w:pPr>
        <w:spacing w:line="480" w:lineRule="auto"/>
      </w:pPr>
      <w:r>
        <w:t>The risk impact assessment gauges the potential consequence on a project objective like schedule, cost, or performance. The consequence of occurrence is captured on the X-axis of the Probability and Impact Matrix. It is scaled from 1-5. A score of 1 means the consequence of occurrence is minimal and a score of 5 means the consequence of occurrence is severe. The criteria for consequence scoring methodology is described in Table 2.1.</w:t>
      </w:r>
      <w:r>
        <w:tab/>
      </w:r>
      <w:r>
        <w:tab/>
      </w:r>
      <w:r>
        <w:tab/>
      </w:r>
      <w:r>
        <w:tab/>
        <w:t xml:space="preserve">       </w:t>
      </w:r>
      <w:r>
        <w:rPr>
          <w:noProof/>
        </w:rPr>
        <w:drawing>
          <wp:anchor distT="0" distB="0" distL="0" distR="0" simplePos="0" relativeHeight="251659264" behindDoc="0" locked="0" layoutInCell="0" hidden="0" allowOverlap="1" wp14:anchorId="43D36CE2" wp14:editId="2104ED59">
            <wp:simplePos x="0" y="0"/>
            <wp:positionH relativeFrom="margin">
              <wp:posOffset>-95249</wp:posOffset>
            </wp:positionH>
            <wp:positionV relativeFrom="paragraph">
              <wp:posOffset>133350</wp:posOffset>
            </wp:positionV>
            <wp:extent cx="2838450" cy="1909763"/>
            <wp:effectExtent l="0" t="0" r="0" b="0"/>
            <wp:wrapTopAndBottom distT="0" distB="0"/>
            <wp:docPr id="2" name="image03.png" descr="risk probability matrix.png"/>
            <wp:cNvGraphicFramePr/>
            <a:graphic xmlns:a="http://schemas.openxmlformats.org/drawingml/2006/main">
              <a:graphicData uri="http://schemas.openxmlformats.org/drawingml/2006/picture">
                <pic:pic xmlns:pic="http://schemas.openxmlformats.org/drawingml/2006/picture">
                  <pic:nvPicPr>
                    <pic:cNvPr id="0" name="image03.png" descr="risk probability matrix.png"/>
                    <pic:cNvPicPr preferRelativeResize="0"/>
                  </pic:nvPicPr>
                  <pic:blipFill>
                    <a:blip r:embed="rId5"/>
                    <a:srcRect/>
                    <a:stretch>
                      <a:fillRect/>
                    </a:stretch>
                  </pic:blipFill>
                  <pic:spPr>
                    <a:xfrm>
                      <a:off x="0" y="0"/>
                      <a:ext cx="2838450" cy="1909763"/>
                    </a:xfrm>
                    <a:prstGeom prst="rect">
                      <a:avLst/>
                    </a:prstGeom>
                    <a:ln/>
                  </pic:spPr>
                </pic:pic>
              </a:graphicData>
            </a:graphic>
          </wp:anchor>
        </w:drawing>
      </w:r>
    </w:p>
    <w:p w:rsidR="0011386B" w:rsidRDefault="0011386B" w:rsidP="0011386B">
      <w:pPr>
        <w:spacing w:line="480" w:lineRule="auto"/>
      </w:pPr>
      <w:r>
        <w:t>Risks that fall within the Red and Yellow quadrants will have be required to have a Risk Mitigation Plan. The Risk Mitigation Tool in Figure 2.2 describes the steps the project management team will take to reduce the risk’s likelihood and consequence. The graph traces the steps over time to visually depict the path from Red to Green.</w:t>
      </w:r>
    </w:p>
    <w:p w:rsidR="0011386B" w:rsidRPr="003D7F4E" w:rsidRDefault="0011386B" w:rsidP="0011386B">
      <w:pPr>
        <w:rPr>
          <w:b/>
          <w:color w:val="000000"/>
        </w:rPr>
      </w:pPr>
      <w:r>
        <w:rPr>
          <w:b/>
          <w:i/>
          <w:color w:val="000000"/>
        </w:rPr>
        <w:t>Table</w:t>
      </w:r>
      <w:r w:rsidRPr="003D7F4E">
        <w:rPr>
          <w:b/>
          <w:i/>
          <w:color w:val="000000"/>
        </w:rPr>
        <w:t xml:space="preserve"> 2.</w:t>
      </w:r>
      <w:r>
        <w:rPr>
          <w:b/>
          <w:i/>
          <w:color w:val="000000"/>
        </w:rPr>
        <w:t>1</w:t>
      </w:r>
      <w:r w:rsidRPr="003D7F4E">
        <w:rPr>
          <w:b/>
          <w:color w:val="000000"/>
        </w:rPr>
        <w:t xml:space="preserve"> – Risk Mitigation Steps</w:t>
      </w:r>
    </w:p>
    <w:p w:rsidR="0011386B" w:rsidRDefault="0011386B" w:rsidP="0011386B">
      <w:pPr>
        <w:rPr>
          <w:color w:val="000000"/>
        </w:rPr>
      </w:pPr>
    </w:p>
    <w:tbl>
      <w:tblPr>
        <w:tblW w:w="4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2610"/>
        <w:gridCol w:w="1230"/>
      </w:tblGrid>
      <w:tr w:rsidR="0011386B" w:rsidTr="00586FB0">
        <w:tc>
          <w:tcPr>
            <w:tcW w:w="8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Step</w:t>
            </w:r>
          </w:p>
        </w:tc>
        <w:tc>
          <w:tcPr>
            <w:tcW w:w="26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Step Mitigation</w:t>
            </w:r>
          </w:p>
        </w:tc>
        <w:tc>
          <w:tcPr>
            <w:tcW w:w="123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Date</w:t>
            </w:r>
          </w:p>
        </w:tc>
      </w:tr>
      <w:tr w:rsidR="0011386B" w:rsidTr="00586FB0">
        <w:tc>
          <w:tcPr>
            <w:tcW w:w="8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1</w:t>
            </w:r>
          </w:p>
        </w:tc>
        <w:tc>
          <w:tcPr>
            <w:tcW w:w="26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Mitigation Step 1</w:t>
            </w:r>
          </w:p>
        </w:tc>
        <w:tc>
          <w:tcPr>
            <w:tcW w:w="1230" w:type="dxa"/>
            <w:tcMar>
              <w:top w:w="100" w:type="dxa"/>
              <w:left w:w="100" w:type="dxa"/>
              <w:bottom w:w="100" w:type="dxa"/>
              <w:right w:w="100" w:type="dxa"/>
            </w:tcMar>
          </w:tcPr>
          <w:p w:rsidR="0011386B" w:rsidRDefault="0011386B" w:rsidP="00586FB0">
            <w:pPr>
              <w:pStyle w:val="Normal1"/>
              <w:widowControl w:val="0"/>
              <w:spacing w:line="240" w:lineRule="auto"/>
            </w:pPr>
          </w:p>
        </w:tc>
      </w:tr>
      <w:tr w:rsidR="0011386B" w:rsidTr="00586FB0">
        <w:tc>
          <w:tcPr>
            <w:tcW w:w="8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1.1</w:t>
            </w:r>
          </w:p>
        </w:tc>
        <w:tc>
          <w:tcPr>
            <w:tcW w:w="26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Sub-step Activity 1.1</w:t>
            </w:r>
          </w:p>
        </w:tc>
        <w:tc>
          <w:tcPr>
            <w:tcW w:w="1230" w:type="dxa"/>
            <w:tcMar>
              <w:top w:w="100" w:type="dxa"/>
              <w:left w:w="100" w:type="dxa"/>
              <w:bottom w:w="100" w:type="dxa"/>
              <w:right w:w="100" w:type="dxa"/>
            </w:tcMar>
          </w:tcPr>
          <w:p w:rsidR="0011386B" w:rsidRDefault="0011386B" w:rsidP="00586FB0">
            <w:pPr>
              <w:pStyle w:val="Normal1"/>
              <w:widowControl w:val="0"/>
              <w:spacing w:line="240" w:lineRule="auto"/>
            </w:pPr>
          </w:p>
        </w:tc>
      </w:tr>
      <w:tr w:rsidR="0011386B" w:rsidTr="00586FB0">
        <w:tc>
          <w:tcPr>
            <w:tcW w:w="8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2</w:t>
            </w:r>
          </w:p>
        </w:tc>
        <w:tc>
          <w:tcPr>
            <w:tcW w:w="26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Mitigation Step 2</w:t>
            </w:r>
          </w:p>
        </w:tc>
        <w:tc>
          <w:tcPr>
            <w:tcW w:w="1230" w:type="dxa"/>
            <w:tcMar>
              <w:top w:w="100" w:type="dxa"/>
              <w:left w:w="100" w:type="dxa"/>
              <w:bottom w:w="100" w:type="dxa"/>
              <w:right w:w="100" w:type="dxa"/>
            </w:tcMar>
          </w:tcPr>
          <w:p w:rsidR="0011386B" w:rsidRDefault="0011386B" w:rsidP="00586FB0">
            <w:pPr>
              <w:pStyle w:val="Normal1"/>
              <w:widowControl w:val="0"/>
              <w:spacing w:line="240" w:lineRule="auto"/>
            </w:pPr>
          </w:p>
        </w:tc>
      </w:tr>
      <w:tr w:rsidR="0011386B" w:rsidTr="00586FB0">
        <w:tc>
          <w:tcPr>
            <w:tcW w:w="8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2.1</w:t>
            </w:r>
          </w:p>
        </w:tc>
        <w:tc>
          <w:tcPr>
            <w:tcW w:w="26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Sub-step Activity 2.1</w:t>
            </w:r>
          </w:p>
        </w:tc>
        <w:tc>
          <w:tcPr>
            <w:tcW w:w="1230" w:type="dxa"/>
            <w:tcMar>
              <w:top w:w="100" w:type="dxa"/>
              <w:left w:w="100" w:type="dxa"/>
              <w:bottom w:w="100" w:type="dxa"/>
              <w:right w:w="100" w:type="dxa"/>
            </w:tcMar>
          </w:tcPr>
          <w:p w:rsidR="0011386B" w:rsidRDefault="0011386B" w:rsidP="00586FB0">
            <w:pPr>
              <w:pStyle w:val="Normal1"/>
              <w:widowControl w:val="0"/>
              <w:spacing w:line="240" w:lineRule="auto"/>
            </w:pPr>
          </w:p>
        </w:tc>
      </w:tr>
      <w:tr w:rsidR="0011386B" w:rsidTr="00586FB0">
        <w:tc>
          <w:tcPr>
            <w:tcW w:w="8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2.2</w:t>
            </w:r>
          </w:p>
        </w:tc>
        <w:tc>
          <w:tcPr>
            <w:tcW w:w="26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Sub-step Activity 2.2</w:t>
            </w:r>
          </w:p>
        </w:tc>
        <w:tc>
          <w:tcPr>
            <w:tcW w:w="1230" w:type="dxa"/>
            <w:tcMar>
              <w:top w:w="100" w:type="dxa"/>
              <w:left w:w="100" w:type="dxa"/>
              <w:bottom w:w="100" w:type="dxa"/>
              <w:right w:w="100" w:type="dxa"/>
            </w:tcMar>
          </w:tcPr>
          <w:p w:rsidR="0011386B" w:rsidRDefault="0011386B" w:rsidP="00586FB0">
            <w:pPr>
              <w:pStyle w:val="Normal1"/>
              <w:widowControl w:val="0"/>
              <w:spacing w:line="240" w:lineRule="auto"/>
            </w:pPr>
          </w:p>
        </w:tc>
      </w:tr>
      <w:tr w:rsidR="0011386B" w:rsidTr="00586FB0">
        <w:tc>
          <w:tcPr>
            <w:tcW w:w="8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3</w:t>
            </w:r>
          </w:p>
        </w:tc>
        <w:tc>
          <w:tcPr>
            <w:tcW w:w="2610" w:type="dxa"/>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Mitigation Step 3</w:t>
            </w:r>
          </w:p>
        </w:tc>
        <w:tc>
          <w:tcPr>
            <w:tcW w:w="1230" w:type="dxa"/>
            <w:tcMar>
              <w:top w:w="100" w:type="dxa"/>
              <w:left w:w="100" w:type="dxa"/>
              <w:bottom w:w="100" w:type="dxa"/>
              <w:right w:w="100" w:type="dxa"/>
            </w:tcMar>
          </w:tcPr>
          <w:p w:rsidR="0011386B" w:rsidRDefault="0011386B" w:rsidP="00586FB0">
            <w:pPr>
              <w:pStyle w:val="Normal1"/>
              <w:widowControl w:val="0"/>
              <w:spacing w:line="240" w:lineRule="auto"/>
            </w:pPr>
          </w:p>
        </w:tc>
      </w:tr>
    </w:tbl>
    <w:p w:rsidR="0011386B" w:rsidRPr="00111440" w:rsidRDefault="0011386B" w:rsidP="0011386B">
      <w:pPr>
        <w:rPr>
          <w:b/>
        </w:rPr>
      </w:pPr>
      <w:bookmarkStart w:id="1" w:name="_Toc347855803"/>
      <w:bookmarkStart w:id="2" w:name="_Toc347857207"/>
      <w:bookmarkStart w:id="3" w:name="_Toc347857305"/>
      <w:r w:rsidRPr="00111440">
        <w:rPr>
          <w:b/>
          <w:i/>
          <w:color w:val="000000"/>
        </w:rPr>
        <w:t>Table 2.2</w:t>
      </w:r>
      <w:r w:rsidRPr="00111440">
        <w:rPr>
          <w:b/>
          <w:color w:val="000000"/>
        </w:rPr>
        <w:t>- Risk Likelihood and Consequence Criteria</w:t>
      </w:r>
      <w:bookmarkEnd w:id="1"/>
      <w:bookmarkEnd w:id="2"/>
      <w:bookmarkEnd w:id="3"/>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00"/>
        <w:gridCol w:w="1950"/>
        <w:gridCol w:w="3315"/>
        <w:gridCol w:w="1755"/>
      </w:tblGrid>
      <w:tr w:rsidR="0011386B" w:rsidTr="00586FB0">
        <w:trPr>
          <w:trHeight w:val="440"/>
        </w:trPr>
        <w:tc>
          <w:tcPr>
            <w:tcW w:w="825"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11386B" w:rsidRDefault="0011386B" w:rsidP="00586FB0">
            <w:pPr>
              <w:pStyle w:val="Normal1"/>
              <w:widowControl w:val="0"/>
              <w:spacing w:line="240" w:lineRule="auto"/>
              <w:ind w:left="80" w:right="-340"/>
            </w:pPr>
            <w:r>
              <w:rPr>
                <w:rFonts w:ascii="Times New Roman" w:eastAsia="Times New Roman" w:hAnsi="Times New Roman" w:cs="Times New Roman"/>
                <w:sz w:val="24"/>
                <w:szCs w:val="24"/>
                <w:highlight w:val="white"/>
              </w:rPr>
              <w:t xml:space="preserve">Cube </w:t>
            </w:r>
          </w:p>
          <w:p w:rsidR="0011386B" w:rsidRDefault="0011386B" w:rsidP="00586FB0">
            <w:pPr>
              <w:pStyle w:val="Normal1"/>
              <w:widowControl w:val="0"/>
              <w:spacing w:line="240" w:lineRule="auto"/>
              <w:ind w:left="80" w:right="-340"/>
            </w:pPr>
            <w:r>
              <w:rPr>
                <w:rFonts w:ascii="Times New Roman" w:eastAsia="Times New Roman" w:hAnsi="Times New Roman" w:cs="Times New Roman"/>
                <w:sz w:val="24"/>
                <w:szCs w:val="24"/>
                <w:highlight w:val="white"/>
              </w:rPr>
              <w:t>Value</w:t>
            </w:r>
          </w:p>
        </w:tc>
        <w:tc>
          <w:tcPr>
            <w:tcW w:w="1500" w:type="dxa"/>
            <w:vMerge w:val="restart"/>
            <w:shd w:val="clear" w:color="auto" w:fill="9FC5E8"/>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Likelihood</w:t>
            </w:r>
          </w:p>
        </w:tc>
        <w:tc>
          <w:tcPr>
            <w:tcW w:w="7020" w:type="dxa"/>
            <w:gridSpan w:val="3"/>
            <w:shd w:val="clear" w:color="auto" w:fill="B4A7D6"/>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Consequence</w:t>
            </w:r>
          </w:p>
        </w:tc>
      </w:tr>
      <w:tr w:rsidR="0011386B" w:rsidTr="00586FB0">
        <w:trPr>
          <w:trHeight w:val="440"/>
        </w:trPr>
        <w:tc>
          <w:tcPr>
            <w:tcW w:w="82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1386B" w:rsidRDefault="0011386B" w:rsidP="00586FB0">
            <w:pPr>
              <w:pStyle w:val="Normal1"/>
              <w:widowControl w:val="0"/>
              <w:spacing w:line="240" w:lineRule="auto"/>
              <w:ind w:right="-340"/>
            </w:pPr>
          </w:p>
        </w:tc>
        <w:tc>
          <w:tcPr>
            <w:tcW w:w="1500" w:type="dxa"/>
            <w:vMerge/>
            <w:shd w:val="clear" w:color="auto" w:fill="9FC5E8"/>
            <w:tcMar>
              <w:top w:w="100" w:type="dxa"/>
              <w:left w:w="100" w:type="dxa"/>
              <w:bottom w:w="100" w:type="dxa"/>
              <w:right w:w="100" w:type="dxa"/>
            </w:tcMar>
          </w:tcPr>
          <w:p w:rsidR="0011386B" w:rsidRDefault="0011386B" w:rsidP="00586FB0">
            <w:pPr>
              <w:pStyle w:val="Normal1"/>
              <w:widowControl w:val="0"/>
              <w:spacing w:line="240" w:lineRule="auto"/>
            </w:pPr>
          </w:p>
        </w:tc>
        <w:tc>
          <w:tcPr>
            <w:tcW w:w="1950" w:type="dxa"/>
            <w:shd w:val="clear" w:color="auto" w:fill="B4A7D6"/>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Technical / Performance</w:t>
            </w:r>
          </w:p>
        </w:tc>
        <w:tc>
          <w:tcPr>
            <w:tcW w:w="3315" w:type="dxa"/>
            <w:shd w:val="clear" w:color="auto" w:fill="B4A7D6"/>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Schedule</w:t>
            </w:r>
          </w:p>
        </w:tc>
        <w:tc>
          <w:tcPr>
            <w:tcW w:w="1755" w:type="dxa"/>
            <w:shd w:val="clear" w:color="auto" w:fill="B4A7D6"/>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24"/>
                <w:szCs w:val="24"/>
              </w:rPr>
              <w:t>Cost</w:t>
            </w:r>
          </w:p>
        </w:tc>
      </w:tr>
      <w:tr w:rsidR="0011386B" w:rsidTr="00586FB0">
        <w:tc>
          <w:tcPr>
            <w:tcW w:w="825" w:type="dxa"/>
            <w:tcMar>
              <w:top w:w="100" w:type="dxa"/>
              <w:left w:w="100" w:type="dxa"/>
              <w:bottom w:w="100" w:type="dxa"/>
              <w:right w:w="100" w:type="dxa"/>
            </w:tcMar>
          </w:tcPr>
          <w:p w:rsidR="0011386B" w:rsidRDefault="0011386B" w:rsidP="00586FB0">
            <w:pPr>
              <w:pStyle w:val="Normal1"/>
              <w:widowControl w:val="0"/>
              <w:spacing w:line="240" w:lineRule="auto"/>
            </w:pPr>
          </w:p>
        </w:tc>
        <w:tc>
          <w:tcPr>
            <w:tcW w:w="1500" w:type="dxa"/>
            <w:shd w:val="clear" w:color="auto" w:fill="D9D9D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Times New Roman" w:hAnsi="Times New Roman" w:cs="Times New Roman"/>
                <w:sz w:val="18"/>
                <w:szCs w:val="18"/>
              </w:rPr>
              <w:t>&gt; 90%</w:t>
            </w:r>
          </w:p>
        </w:tc>
        <w:tc>
          <w:tcPr>
            <w:tcW w:w="1950"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 xml:space="preserve">Project failure </w:t>
            </w:r>
          </w:p>
        </w:tc>
        <w:tc>
          <w:tcPr>
            <w:tcW w:w="3315" w:type="dxa"/>
            <w:shd w:val="clear" w:color="auto" w:fill="D9D2E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Gungsuh" w:hAnsi="Times New Roman" w:cs="Times New Roman"/>
                <w:sz w:val="18"/>
                <w:szCs w:val="18"/>
              </w:rPr>
              <w:t xml:space="preserve">Specific schedule critical path key milestone/s would be late ≥ 6 months </w:t>
            </w:r>
          </w:p>
        </w:tc>
        <w:tc>
          <w:tcPr>
            <w:tcW w:w="1755"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 xml:space="preserve">Increase in the Contract (Project) ETC by &gt;10% </w:t>
            </w:r>
          </w:p>
        </w:tc>
      </w:tr>
      <w:tr w:rsidR="0011386B" w:rsidTr="00586FB0">
        <w:tc>
          <w:tcPr>
            <w:tcW w:w="825" w:type="dxa"/>
            <w:tcMar>
              <w:top w:w="100" w:type="dxa"/>
              <w:left w:w="100" w:type="dxa"/>
              <w:bottom w:w="100" w:type="dxa"/>
              <w:right w:w="100" w:type="dxa"/>
            </w:tcMar>
          </w:tcPr>
          <w:p w:rsidR="0011386B" w:rsidRDefault="0011386B" w:rsidP="00586FB0">
            <w:pPr>
              <w:pStyle w:val="Normal1"/>
              <w:widowControl w:val="0"/>
              <w:spacing w:line="240" w:lineRule="auto"/>
            </w:pPr>
          </w:p>
        </w:tc>
        <w:tc>
          <w:tcPr>
            <w:tcW w:w="1500" w:type="dxa"/>
            <w:shd w:val="clear" w:color="auto" w:fill="D9D9D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Gungsuh" w:hAnsi="Times New Roman" w:cs="Times New Roman"/>
                <w:sz w:val="18"/>
                <w:szCs w:val="18"/>
              </w:rPr>
              <w:t xml:space="preserve">&gt;70% and </w:t>
            </w:r>
            <w:proofErr w:type="gramStart"/>
            <w:r w:rsidRPr="001B4B07">
              <w:rPr>
                <w:rFonts w:ascii="Times New Roman" w:eastAsia="Gungsuh" w:hAnsi="Times New Roman" w:cs="Times New Roman"/>
                <w:sz w:val="18"/>
                <w:szCs w:val="18"/>
              </w:rPr>
              <w:t>≤  90</w:t>
            </w:r>
            <w:proofErr w:type="gramEnd"/>
            <w:r w:rsidRPr="001B4B07">
              <w:rPr>
                <w:rFonts w:ascii="Times New Roman" w:eastAsia="Gungsuh" w:hAnsi="Times New Roman" w:cs="Times New Roman"/>
                <w:sz w:val="18"/>
                <w:szCs w:val="18"/>
              </w:rPr>
              <w:t>%</w:t>
            </w:r>
          </w:p>
          <w:p w:rsidR="0011386B" w:rsidRPr="001B4B07" w:rsidRDefault="0011386B" w:rsidP="00586FB0">
            <w:pPr>
              <w:pStyle w:val="Normal1"/>
              <w:widowControl w:val="0"/>
              <w:spacing w:line="240" w:lineRule="auto"/>
              <w:rPr>
                <w:rFonts w:ascii="Times New Roman" w:hAnsi="Times New Roman" w:cs="Times New Roman"/>
              </w:rPr>
            </w:pPr>
          </w:p>
        </w:tc>
        <w:tc>
          <w:tcPr>
            <w:tcW w:w="195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11386B" w:rsidRDefault="0011386B" w:rsidP="00586FB0">
            <w:pPr>
              <w:pStyle w:val="Normal1"/>
              <w:widowControl w:val="0"/>
              <w:spacing w:line="240" w:lineRule="auto"/>
              <w:ind w:right="120"/>
            </w:pPr>
            <w:r>
              <w:rPr>
                <w:rFonts w:ascii="Times New Roman" w:eastAsia="Times New Roman" w:hAnsi="Times New Roman" w:cs="Times New Roman"/>
                <w:sz w:val="18"/>
                <w:szCs w:val="18"/>
              </w:rPr>
              <w:t>Major Impact to Project Baseline</w:t>
            </w:r>
          </w:p>
        </w:tc>
        <w:tc>
          <w:tcPr>
            <w:tcW w:w="3315" w:type="dxa"/>
            <w:shd w:val="clear" w:color="auto" w:fill="D9D2E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Gungsuh" w:hAnsi="Times New Roman" w:cs="Times New Roman"/>
                <w:sz w:val="18"/>
                <w:szCs w:val="18"/>
              </w:rPr>
              <w:t xml:space="preserve">Specific schedule critical path activities ≥ 3 months but &lt; 6 months late </w:t>
            </w:r>
          </w:p>
        </w:tc>
        <w:tc>
          <w:tcPr>
            <w:tcW w:w="1755"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 xml:space="preserve">Increase in the Contract (Project) ETC by &lt;10% </w:t>
            </w:r>
          </w:p>
        </w:tc>
      </w:tr>
      <w:tr w:rsidR="0011386B" w:rsidTr="00586FB0">
        <w:tc>
          <w:tcPr>
            <w:tcW w:w="825" w:type="dxa"/>
            <w:tcMar>
              <w:top w:w="100" w:type="dxa"/>
              <w:left w:w="100" w:type="dxa"/>
              <w:bottom w:w="100" w:type="dxa"/>
              <w:right w:w="100" w:type="dxa"/>
            </w:tcMar>
          </w:tcPr>
          <w:p w:rsidR="0011386B" w:rsidRDefault="0011386B" w:rsidP="00586FB0">
            <w:pPr>
              <w:pStyle w:val="Normal1"/>
              <w:widowControl w:val="0"/>
              <w:spacing w:line="240" w:lineRule="auto"/>
            </w:pPr>
          </w:p>
        </w:tc>
        <w:tc>
          <w:tcPr>
            <w:tcW w:w="1500" w:type="dxa"/>
            <w:shd w:val="clear" w:color="auto" w:fill="D9D9D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Gungsuh" w:hAnsi="Times New Roman" w:cs="Times New Roman"/>
                <w:sz w:val="18"/>
                <w:szCs w:val="18"/>
              </w:rPr>
              <w:t>&gt;30% and ≤ 70%</w:t>
            </w:r>
          </w:p>
          <w:p w:rsidR="0011386B" w:rsidRPr="001B4B07" w:rsidRDefault="0011386B" w:rsidP="00586FB0">
            <w:pPr>
              <w:pStyle w:val="Normal1"/>
              <w:widowControl w:val="0"/>
              <w:spacing w:line="240" w:lineRule="auto"/>
              <w:rPr>
                <w:rFonts w:ascii="Times New Roman" w:hAnsi="Times New Roman" w:cs="Times New Roman"/>
              </w:rPr>
            </w:pPr>
          </w:p>
        </w:tc>
        <w:tc>
          <w:tcPr>
            <w:tcW w:w="1950"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Moderate Impact to Project Baseline</w:t>
            </w:r>
          </w:p>
        </w:tc>
        <w:tc>
          <w:tcPr>
            <w:tcW w:w="3315" w:type="dxa"/>
            <w:shd w:val="clear" w:color="auto" w:fill="D9D2E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Gungsuh" w:hAnsi="Times New Roman" w:cs="Times New Roman"/>
                <w:sz w:val="18"/>
                <w:szCs w:val="18"/>
              </w:rPr>
              <w:t xml:space="preserve">Specific schedule critical path activities ≥ 1 month but &lt; 3 months late </w:t>
            </w:r>
          </w:p>
        </w:tc>
        <w:tc>
          <w:tcPr>
            <w:tcW w:w="1755"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 xml:space="preserve">Increase in the Contract (Program) ETC by &lt;5% </w:t>
            </w:r>
          </w:p>
        </w:tc>
      </w:tr>
      <w:tr w:rsidR="0011386B" w:rsidTr="00586FB0">
        <w:tc>
          <w:tcPr>
            <w:tcW w:w="825" w:type="dxa"/>
            <w:tcMar>
              <w:top w:w="100" w:type="dxa"/>
              <w:left w:w="100" w:type="dxa"/>
              <w:bottom w:w="100" w:type="dxa"/>
              <w:right w:w="100" w:type="dxa"/>
            </w:tcMar>
          </w:tcPr>
          <w:p w:rsidR="0011386B" w:rsidRDefault="0011386B" w:rsidP="00586FB0">
            <w:pPr>
              <w:pStyle w:val="Normal1"/>
              <w:widowControl w:val="0"/>
              <w:spacing w:line="240" w:lineRule="auto"/>
            </w:pPr>
          </w:p>
        </w:tc>
        <w:tc>
          <w:tcPr>
            <w:tcW w:w="1500" w:type="dxa"/>
            <w:shd w:val="clear" w:color="auto" w:fill="D9D9D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Gungsuh" w:hAnsi="Times New Roman" w:cs="Times New Roman"/>
                <w:sz w:val="18"/>
                <w:szCs w:val="18"/>
              </w:rPr>
              <w:t xml:space="preserve">&gt; 10% </w:t>
            </w:r>
            <w:proofErr w:type="gramStart"/>
            <w:r w:rsidRPr="001B4B07">
              <w:rPr>
                <w:rFonts w:ascii="Times New Roman" w:eastAsia="Gungsuh" w:hAnsi="Times New Roman" w:cs="Times New Roman"/>
                <w:sz w:val="18"/>
                <w:szCs w:val="18"/>
              </w:rPr>
              <w:t>and  ≤</w:t>
            </w:r>
            <w:proofErr w:type="gramEnd"/>
            <w:r w:rsidRPr="001B4B07">
              <w:rPr>
                <w:rFonts w:ascii="Times New Roman" w:eastAsia="Gungsuh" w:hAnsi="Times New Roman" w:cs="Times New Roman"/>
                <w:sz w:val="18"/>
                <w:szCs w:val="18"/>
              </w:rPr>
              <w:t xml:space="preserve"> 30%</w:t>
            </w:r>
          </w:p>
          <w:p w:rsidR="0011386B" w:rsidRPr="001B4B07" w:rsidRDefault="0011386B" w:rsidP="00586FB0">
            <w:pPr>
              <w:pStyle w:val="Normal1"/>
              <w:widowControl w:val="0"/>
              <w:spacing w:line="240" w:lineRule="auto"/>
              <w:rPr>
                <w:rFonts w:ascii="Times New Roman" w:hAnsi="Times New Roman" w:cs="Times New Roman"/>
              </w:rPr>
            </w:pPr>
          </w:p>
        </w:tc>
        <w:tc>
          <w:tcPr>
            <w:tcW w:w="1950"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 xml:space="preserve">Degraded performance or reliability margin </w:t>
            </w:r>
          </w:p>
        </w:tc>
        <w:tc>
          <w:tcPr>
            <w:tcW w:w="3315" w:type="dxa"/>
            <w:shd w:val="clear" w:color="auto" w:fill="D9D2E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Times New Roman" w:hAnsi="Times New Roman" w:cs="Times New Roman"/>
                <w:sz w:val="18"/>
                <w:szCs w:val="18"/>
              </w:rPr>
              <w:t>Specific schedule critical path activities &gt; 1 week late but &lt; 1 month</w:t>
            </w:r>
          </w:p>
        </w:tc>
        <w:tc>
          <w:tcPr>
            <w:tcW w:w="1755"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Increase in the Contract (Project) ETC by &lt; 1%</w:t>
            </w:r>
          </w:p>
        </w:tc>
      </w:tr>
      <w:tr w:rsidR="0011386B" w:rsidTr="00586FB0">
        <w:tc>
          <w:tcPr>
            <w:tcW w:w="825" w:type="dxa"/>
            <w:tcMar>
              <w:top w:w="100" w:type="dxa"/>
              <w:left w:w="100" w:type="dxa"/>
              <w:bottom w:w="100" w:type="dxa"/>
              <w:right w:w="100" w:type="dxa"/>
            </w:tcMar>
          </w:tcPr>
          <w:p w:rsidR="0011386B" w:rsidRDefault="0011386B" w:rsidP="00586FB0">
            <w:pPr>
              <w:pStyle w:val="Normal1"/>
              <w:widowControl w:val="0"/>
              <w:spacing w:line="240" w:lineRule="auto"/>
            </w:pPr>
          </w:p>
        </w:tc>
        <w:tc>
          <w:tcPr>
            <w:tcW w:w="1500" w:type="dxa"/>
            <w:shd w:val="clear" w:color="auto" w:fill="D9D9D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proofErr w:type="gramStart"/>
            <w:r w:rsidRPr="001B4B07">
              <w:rPr>
                <w:rFonts w:ascii="Times New Roman" w:eastAsia="Gungsuh" w:hAnsi="Times New Roman" w:cs="Times New Roman"/>
                <w:sz w:val="18"/>
                <w:szCs w:val="18"/>
              </w:rPr>
              <w:t>≤  10</w:t>
            </w:r>
            <w:proofErr w:type="gramEnd"/>
            <w:r w:rsidRPr="001B4B07">
              <w:rPr>
                <w:rFonts w:ascii="Times New Roman" w:eastAsia="Gungsuh" w:hAnsi="Times New Roman" w:cs="Times New Roman"/>
                <w:sz w:val="18"/>
                <w:szCs w:val="18"/>
              </w:rPr>
              <w:t>%</w:t>
            </w:r>
          </w:p>
          <w:p w:rsidR="0011386B" w:rsidRPr="001B4B07" w:rsidRDefault="0011386B" w:rsidP="00586FB0">
            <w:pPr>
              <w:pStyle w:val="Normal1"/>
              <w:widowControl w:val="0"/>
              <w:spacing w:line="240" w:lineRule="auto"/>
              <w:rPr>
                <w:rFonts w:ascii="Times New Roman" w:hAnsi="Times New Roman" w:cs="Times New Roman"/>
              </w:rPr>
            </w:pPr>
          </w:p>
        </w:tc>
        <w:tc>
          <w:tcPr>
            <w:tcW w:w="1950"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 xml:space="preserve">Reduction in Performance </w:t>
            </w:r>
          </w:p>
        </w:tc>
        <w:tc>
          <w:tcPr>
            <w:tcW w:w="3315" w:type="dxa"/>
            <w:shd w:val="clear" w:color="auto" w:fill="D9D2E9"/>
            <w:tcMar>
              <w:top w:w="100" w:type="dxa"/>
              <w:left w:w="100" w:type="dxa"/>
              <w:bottom w:w="100" w:type="dxa"/>
              <w:right w:w="100" w:type="dxa"/>
            </w:tcMar>
          </w:tcPr>
          <w:p w:rsidR="0011386B" w:rsidRPr="001B4B07" w:rsidRDefault="0011386B" w:rsidP="00586FB0">
            <w:pPr>
              <w:pStyle w:val="Normal1"/>
              <w:widowControl w:val="0"/>
              <w:spacing w:line="240" w:lineRule="auto"/>
              <w:rPr>
                <w:rFonts w:ascii="Times New Roman" w:hAnsi="Times New Roman" w:cs="Times New Roman"/>
              </w:rPr>
            </w:pPr>
            <w:r w:rsidRPr="001B4B07">
              <w:rPr>
                <w:rFonts w:ascii="Times New Roman" w:eastAsia="Gungsuh" w:hAnsi="Times New Roman" w:cs="Times New Roman"/>
                <w:sz w:val="18"/>
                <w:szCs w:val="18"/>
              </w:rPr>
              <w:t xml:space="preserve">Specific schedule critical path activities ≤ 1 week late </w:t>
            </w:r>
          </w:p>
        </w:tc>
        <w:tc>
          <w:tcPr>
            <w:tcW w:w="1755" w:type="dxa"/>
            <w:shd w:val="clear" w:color="auto" w:fill="D9D2E9"/>
            <w:tcMar>
              <w:top w:w="100" w:type="dxa"/>
              <w:left w:w="100" w:type="dxa"/>
              <w:bottom w:w="100" w:type="dxa"/>
              <w:right w:w="100" w:type="dxa"/>
            </w:tcMar>
          </w:tcPr>
          <w:p w:rsidR="0011386B" w:rsidRDefault="0011386B" w:rsidP="00586FB0">
            <w:pPr>
              <w:pStyle w:val="Normal1"/>
              <w:widowControl w:val="0"/>
              <w:spacing w:line="240" w:lineRule="auto"/>
            </w:pPr>
            <w:r>
              <w:rPr>
                <w:rFonts w:ascii="Times New Roman" w:eastAsia="Times New Roman" w:hAnsi="Times New Roman" w:cs="Times New Roman"/>
                <w:sz w:val="18"/>
                <w:szCs w:val="18"/>
              </w:rPr>
              <w:t>Minimal or No Impacts</w:t>
            </w:r>
          </w:p>
        </w:tc>
      </w:tr>
    </w:tbl>
    <w:p w:rsidR="0011386B" w:rsidRDefault="0011386B" w:rsidP="0011386B">
      <w:pPr>
        <w:jc w:val="center"/>
        <w:rPr>
          <w:rFonts w:ascii="Times New Roman" w:hAnsi="Times New Roman" w:cs="Times New Roman"/>
          <w:b/>
          <w:sz w:val="24"/>
          <w:szCs w:val="24"/>
        </w:rPr>
      </w:pPr>
    </w:p>
    <w:p w:rsidR="0011386B" w:rsidRDefault="0011386B" w:rsidP="0011386B">
      <w:pPr>
        <w:jc w:val="center"/>
        <w:rPr>
          <w:rFonts w:ascii="Times New Roman" w:hAnsi="Times New Roman" w:cs="Times New Roman"/>
          <w:b/>
          <w:sz w:val="24"/>
          <w:szCs w:val="24"/>
        </w:rPr>
      </w:pPr>
    </w:p>
    <w:p w:rsidR="0011386B" w:rsidRDefault="0011386B" w:rsidP="0011386B">
      <w:pPr>
        <w:pStyle w:val="Heading1"/>
      </w:pPr>
      <w:bookmarkStart w:id="4" w:name="_Toc476502012"/>
    </w:p>
    <w:p w:rsidR="0011386B" w:rsidRDefault="0011386B" w:rsidP="0011386B">
      <w:pPr>
        <w:pStyle w:val="Heading1"/>
      </w:pPr>
      <w:r w:rsidRPr="00010912">
        <w:t>Resources</w:t>
      </w:r>
      <w:bookmarkEnd w:id="4"/>
    </w:p>
    <w:p w:rsidR="0011386B" w:rsidRDefault="0011386B" w:rsidP="0011386B">
      <w:pPr>
        <w:pStyle w:val="Heading1"/>
      </w:pPr>
    </w:p>
    <w:p w:rsidR="0011386B" w:rsidRPr="00934317" w:rsidRDefault="0011386B" w:rsidP="0011386B">
      <w:pPr>
        <w:rPr>
          <w:rStyle w:val="Emphasis"/>
          <w:rFonts w:ascii="Times New Roman" w:hAnsi="Times New Roman" w:cs="Times New Roman"/>
          <w:sz w:val="24"/>
          <w:szCs w:val="24"/>
          <w:shd w:val="clear" w:color="auto" w:fill="FFFFFF"/>
        </w:rPr>
      </w:pPr>
      <w:r w:rsidRPr="00934317">
        <w:rPr>
          <w:rFonts w:ascii="Times New Roman" w:hAnsi="Times New Roman" w:cs="Times New Roman"/>
          <w:sz w:val="24"/>
          <w:szCs w:val="24"/>
          <w:shd w:val="clear" w:color="auto" w:fill="FFFFFF"/>
        </w:rPr>
        <w:t>Gray, Clifford F. &amp; Larson, Erik W. (2014). </w:t>
      </w:r>
      <w:r w:rsidRPr="00934317">
        <w:rPr>
          <w:rStyle w:val="Emphasis"/>
          <w:rFonts w:ascii="Times New Roman" w:hAnsi="Times New Roman" w:cs="Times New Roman"/>
          <w:sz w:val="24"/>
          <w:szCs w:val="24"/>
          <w:shd w:val="clear" w:color="auto" w:fill="FFFFFF"/>
        </w:rPr>
        <w:t xml:space="preserve">Project management: The managerial process </w:t>
      </w:r>
    </w:p>
    <w:p w:rsidR="0011386B" w:rsidRPr="00934317" w:rsidRDefault="0011386B" w:rsidP="00934317">
      <w:pPr>
        <w:rPr>
          <w:rFonts w:ascii="Times New Roman" w:hAnsi="Times New Roman" w:cs="Times New Roman"/>
          <w:sz w:val="24"/>
          <w:szCs w:val="24"/>
          <w:shd w:val="clear" w:color="auto" w:fill="FFFFFF"/>
        </w:rPr>
      </w:pPr>
      <w:r w:rsidRPr="00934317">
        <w:rPr>
          <w:rStyle w:val="Emphasis"/>
          <w:rFonts w:ascii="Times New Roman" w:hAnsi="Times New Roman" w:cs="Times New Roman"/>
          <w:sz w:val="24"/>
          <w:szCs w:val="24"/>
          <w:shd w:val="clear" w:color="auto" w:fill="FFFFFF"/>
        </w:rPr>
        <w:t>(Sixth Edition). </w:t>
      </w:r>
      <w:r w:rsidRPr="00934317">
        <w:rPr>
          <w:rFonts w:ascii="Times New Roman" w:hAnsi="Times New Roman" w:cs="Times New Roman"/>
          <w:sz w:val="24"/>
          <w:szCs w:val="24"/>
          <w:shd w:val="clear" w:color="auto" w:fill="FFFFFF"/>
        </w:rPr>
        <w:t>New York, New York: McGraw-Hill Education</w:t>
      </w:r>
    </w:p>
    <w:p w:rsidR="0011386B" w:rsidRPr="00934317" w:rsidRDefault="0011386B" w:rsidP="0011386B">
      <w:pPr>
        <w:rPr>
          <w:rFonts w:ascii="Times New Roman" w:hAnsi="Times New Roman" w:cs="Times New Roman"/>
          <w:sz w:val="24"/>
          <w:szCs w:val="24"/>
          <w:shd w:val="clear" w:color="auto" w:fill="FFFFFF"/>
        </w:rPr>
      </w:pPr>
    </w:p>
    <w:p w:rsidR="0011386B" w:rsidRPr="00934317" w:rsidRDefault="0011386B" w:rsidP="0011386B">
      <w:pPr>
        <w:spacing w:after="200"/>
        <w:rPr>
          <w:rFonts w:ascii="Times New Roman" w:hAnsi="Times New Roman" w:cs="Times New Roman"/>
          <w:color w:val="000000"/>
          <w:sz w:val="24"/>
          <w:szCs w:val="24"/>
        </w:rPr>
      </w:pPr>
      <w:r w:rsidRPr="00934317">
        <w:rPr>
          <w:rFonts w:ascii="Times New Roman" w:hAnsi="Times New Roman" w:cs="Times New Roman"/>
          <w:color w:val="000000"/>
          <w:sz w:val="24"/>
          <w:szCs w:val="24"/>
        </w:rPr>
        <w:t xml:space="preserve">PMI. (2015). </w:t>
      </w:r>
      <w:r w:rsidRPr="00934317">
        <w:rPr>
          <w:rFonts w:ascii="Times New Roman" w:hAnsi="Times New Roman" w:cs="Times New Roman"/>
          <w:i/>
          <w:iCs/>
          <w:color w:val="000000"/>
          <w:sz w:val="24"/>
          <w:szCs w:val="24"/>
        </w:rPr>
        <w:t>A Guide to the Project Management Body of Knowledge</w:t>
      </w:r>
      <w:r w:rsidRPr="00934317">
        <w:rPr>
          <w:rFonts w:ascii="Times New Roman" w:hAnsi="Times New Roman" w:cs="Times New Roman"/>
          <w:color w:val="000000"/>
          <w:sz w:val="24"/>
          <w:szCs w:val="24"/>
        </w:rPr>
        <w:t xml:space="preserve"> (PMBOK GUIDE) 5th </w:t>
      </w:r>
    </w:p>
    <w:p w:rsidR="0011386B" w:rsidRPr="00934317" w:rsidRDefault="0011386B" w:rsidP="00934317">
      <w:pPr>
        <w:spacing w:after="200"/>
        <w:rPr>
          <w:rFonts w:ascii="Times New Roman" w:hAnsi="Times New Roman" w:cs="Times New Roman"/>
          <w:color w:val="000000"/>
          <w:sz w:val="24"/>
          <w:szCs w:val="24"/>
        </w:rPr>
      </w:pPr>
      <w:bookmarkStart w:id="5" w:name="_GoBack"/>
      <w:bookmarkEnd w:id="5"/>
      <w:r w:rsidRPr="00934317">
        <w:rPr>
          <w:rFonts w:ascii="Times New Roman" w:hAnsi="Times New Roman" w:cs="Times New Roman"/>
          <w:color w:val="000000"/>
          <w:sz w:val="24"/>
          <w:szCs w:val="24"/>
        </w:rPr>
        <w:t>Edition. Newtown Square, Pennsylvania. Project Management Institute, Inc.</w:t>
      </w:r>
    </w:p>
    <w:p w:rsidR="0011386B" w:rsidRPr="0011386B" w:rsidRDefault="0011386B" w:rsidP="0011386B">
      <w:pPr>
        <w:rPr>
          <w:rFonts w:ascii="Times New Roman" w:hAnsi="Times New Roman" w:cs="Times New Roman"/>
          <w:b/>
          <w:sz w:val="24"/>
          <w:szCs w:val="24"/>
        </w:rPr>
      </w:pPr>
    </w:p>
    <w:sectPr w:rsidR="0011386B" w:rsidRPr="0011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ungsuh">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B"/>
    <w:rsid w:val="0011386B"/>
    <w:rsid w:val="005F38F9"/>
    <w:rsid w:val="0093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B026"/>
  <w15:chartTrackingRefBased/>
  <w15:docId w15:val="{98D2ED41-5267-4394-AEBA-DD2661C8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8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11386B"/>
    <w:pPr>
      <w:keepNext/>
      <w:keepLines/>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11386B"/>
    <w:pPr>
      <w:keepNext/>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386B"/>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11386B"/>
    <w:rPr>
      <w:rFonts w:ascii="Times New Roman" w:eastAsia="Arial Unicode MS" w:hAnsi="Times New Roman" w:cs="Arial Unicode MS"/>
      <w:b/>
      <w:bCs/>
      <w:sz w:val="24"/>
      <w:szCs w:val="24"/>
    </w:rPr>
  </w:style>
  <w:style w:type="paragraph" w:customStyle="1" w:styleId="Normal1">
    <w:name w:val="Normal1"/>
    <w:rsid w:val="0011386B"/>
    <w:pPr>
      <w:spacing w:after="0" w:line="276" w:lineRule="auto"/>
    </w:pPr>
    <w:rPr>
      <w:rFonts w:ascii="Arial" w:eastAsia="Arial" w:hAnsi="Arial" w:cs="Arial"/>
      <w:color w:val="000000"/>
    </w:rPr>
  </w:style>
  <w:style w:type="character" w:customStyle="1" w:styleId="Heading1Char">
    <w:name w:val="Heading 1 Char"/>
    <w:basedOn w:val="DefaultParagraphFont"/>
    <w:link w:val="Heading1"/>
    <w:uiPriority w:val="9"/>
    <w:rsid w:val="0011386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unhideWhenUsed/>
    <w:qFormat/>
    <w:rsid w:val="00113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2017-06-25T01:10:00Z</dcterms:created>
  <dcterms:modified xsi:type="dcterms:W3CDTF">2017-07-02T05:36:00Z</dcterms:modified>
</cp:coreProperties>
</file>